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88F4E" w14:textId="77777777" w:rsidR="00132E7D" w:rsidRPr="00EA7FD9" w:rsidRDefault="00132E7D" w:rsidP="00BE4B35">
      <w:pPr>
        <w:ind w:right="245"/>
        <w:jc w:val="center"/>
        <w:rPr>
          <w:rFonts w:ascii="Calibri" w:hAnsi="Calibri" w:cs="Calibri"/>
          <w:b/>
          <w:bCs/>
          <w:sz w:val="16"/>
          <w:szCs w:val="16"/>
          <w:lang w:val="hr-HR"/>
        </w:rPr>
      </w:pPr>
    </w:p>
    <w:p w14:paraId="44FE741C" w14:textId="77777777" w:rsidR="00132E7D" w:rsidRPr="00344114" w:rsidRDefault="00132E7D" w:rsidP="00DB573A">
      <w:pPr>
        <w:spacing w:line="259" w:lineRule="auto"/>
        <w:ind w:right="245"/>
        <w:jc w:val="center"/>
        <w:rPr>
          <w:b/>
          <w:bCs/>
          <w:sz w:val="16"/>
          <w:szCs w:val="16"/>
          <w:lang w:val="es-AR"/>
        </w:rPr>
      </w:pPr>
      <w:r w:rsidRPr="00344114">
        <w:rPr>
          <w:b/>
          <w:bCs/>
          <w:sz w:val="16"/>
          <w:szCs w:val="16"/>
          <w:lang w:val="es-AR"/>
        </w:rPr>
        <w:t>IPA2007/HR/16IPO/001-050401</w:t>
      </w:r>
    </w:p>
    <w:p w14:paraId="70B928AA" w14:textId="77777777" w:rsidR="00132E7D" w:rsidRPr="00AB6EE2" w:rsidRDefault="00132E7D" w:rsidP="00DB573A">
      <w:pPr>
        <w:spacing w:line="259" w:lineRule="auto"/>
        <w:ind w:right="245"/>
        <w:jc w:val="center"/>
        <w:rPr>
          <w:b/>
          <w:bCs/>
          <w:sz w:val="16"/>
          <w:szCs w:val="16"/>
          <w:lang w:val="hr-HR"/>
        </w:rPr>
      </w:pPr>
    </w:p>
    <w:p w14:paraId="0A5A0170" w14:textId="77777777" w:rsidR="00132E7D" w:rsidRDefault="00132E7D" w:rsidP="00DB573A">
      <w:pPr>
        <w:tabs>
          <w:tab w:val="left" w:pos="9637"/>
        </w:tabs>
        <w:spacing w:line="259" w:lineRule="auto"/>
        <w:ind w:right="245"/>
        <w:jc w:val="center"/>
        <w:rPr>
          <w:b/>
          <w:bCs/>
          <w:sz w:val="18"/>
          <w:szCs w:val="18"/>
          <w:lang w:val="hr-HR"/>
        </w:rPr>
      </w:pPr>
      <w:r w:rsidRPr="00AB6EE2">
        <w:rPr>
          <w:b/>
          <w:bCs/>
          <w:sz w:val="18"/>
          <w:szCs w:val="18"/>
          <w:lang w:val="hr-HR"/>
        </w:rPr>
        <w:t xml:space="preserve">Potpora jačanju regionalne i teritorijalne dimenzije u programskim dokumentima </w:t>
      </w:r>
    </w:p>
    <w:p w14:paraId="39F5ECF2" w14:textId="77777777" w:rsidR="00132E7D" w:rsidRPr="00AB6EE2" w:rsidRDefault="00132E7D" w:rsidP="00DB573A">
      <w:pPr>
        <w:tabs>
          <w:tab w:val="left" w:pos="9637"/>
        </w:tabs>
        <w:spacing w:line="259" w:lineRule="auto"/>
        <w:ind w:right="245"/>
        <w:jc w:val="center"/>
        <w:rPr>
          <w:b/>
          <w:bCs/>
          <w:sz w:val="18"/>
          <w:szCs w:val="18"/>
          <w:lang w:val="hr-HR"/>
        </w:rPr>
      </w:pPr>
      <w:r w:rsidRPr="00AB6EE2">
        <w:rPr>
          <w:b/>
          <w:bCs/>
          <w:sz w:val="18"/>
          <w:szCs w:val="18"/>
          <w:lang w:val="hr-HR"/>
        </w:rPr>
        <w:t xml:space="preserve">za </w:t>
      </w:r>
      <w:r>
        <w:rPr>
          <w:b/>
          <w:bCs/>
          <w:sz w:val="18"/>
          <w:szCs w:val="18"/>
          <w:lang w:val="hr-HR"/>
        </w:rPr>
        <w:t xml:space="preserve">EU fondove </w:t>
      </w:r>
      <w:r w:rsidRPr="00AB6EE2">
        <w:rPr>
          <w:b/>
          <w:bCs/>
          <w:sz w:val="18"/>
          <w:szCs w:val="18"/>
          <w:lang w:val="hr-HR"/>
        </w:rPr>
        <w:t>2014</w:t>
      </w:r>
      <w:r>
        <w:rPr>
          <w:b/>
          <w:bCs/>
          <w:sz w:val="18"/>
          <w:szCs w:val="18"/>
          <w:lang w:val="hr-HR"/>
        </w:rPr>
        <w:t xml:space="preserve">. </w:t>
      </w:r>
      <w:r w:rsidRPr="00AB6EE2">
        <w:rPr>
          <w:b/>
          <w:bCs/>
          <w:sz w:val="18"/>
          <w:szCs w:val="18"/>
          <w:lang w:val="hr-HR"/>
        </w:rPr>
        <w:t>-</w:t>
      </w:r>
      <w:r>
        <w:rPr>
          <w:b/>
          <w:bCs/>
          <w:sz w:val="18"/>
          <w:szCs w:val="18"/>
          <w:lang w:val="hr-HR"/>
        </w:rPr>
        <w:t xml:space="preserve"> </w:t>
      </w:r>
      <w:r w:rsidRPr="00AB6EE2">
        <w:rPr>
          <w:b/>
          <w:bCs/>
          <w:sz w:val="18"/>
          <w:szCs w:val="18"/>
          <w:lang w:val="hr-HR"/>
        </w:rPr>
        <w:t>2020.</w:t>
      </w:r>
    </w:p>
    <w:p w14:paraId="2A8FCFCA" w14:textId="77777777" w:rsidR="00132E7D" w:rsidRPr="00EA7FD9" w:rsidRDefault="00132E7D" w:rsidP="00BE4B35">
      <w:pPr>
        <w:spacing w:before="40" w:after="40"/>
        <w:jc w:val="center"/>
        <w:rPr>
          <w:rFonts w:ascii="Calibri" w:hAnsi="Calibri" w:cs="Calibri"/>
          <w:b/>
          <w:bCs/>
          <w:sz w:val="28"/>
          <w:szCs w:val="28"/>
          <w:lang w:val="hr-HR"/>
        </w:rPr>
      </w:pPr>
    </w:p>
    <w:p w14:paraId="7F71D82F" w14:textId="77777777" w:rsidR="00132E7D" w:rsidRPr="00EA7FD9" w:rsidRDefault="00132E7D" w:rsidP="00BE4B35">
      <w:pPr>
        <w:rPr>
          <w:rFonts w:ascii="Calibri" w:hAnsi="Calibri" w:cs="Calibri"/>
          <w:sz w:val="28"/>
          <w:szCs w:val="28"/>
          <w:lang w:val="hr-HR"/>
        </w:rPr>
      </w:pPr>
    </w:p>
    <w:p w14:paraId="4D7F8620" w14:textId="77777777" w:rsidR="00132E7D" w:rsidRPr="00EA7FD9" w:rsidRDefault="00132E7D" w:rsidP="00BE4B35">
      <w:pPr>
        <w:rPr>
          <w:rFonts w:ascii="Calibri" w:hAnsi="Calibri" w:cs="Calibri"/>
          <w:sz w:val="28"/>
          <w:szCs w:val="28"/>
          <w:lang w:val="hr-HR"/>
        </w:rPr>
      </w:pPr>
    </w:p>
    <w:p w14:paraId="304947A0" w14:textId="77777777" w:rsidR="00132E7D" w:rsidRPr="00EA7FD9" w:rsidRDefault="00132E7D" w:rsidP="00BE4B35">
      <w:pPr>
        <w:rPr>
          <w:rFonts w:ascii="Calibri" w:hAnsi="Calibri" w:cs="Calibri"/>
          <w:sz w:val="28"/>
          <w:szCs w:val="28"/>
          <w:lang w:val="hr-HR"/>
        </w:rPr>
      </w:pPr>
    </w:p>
    <w:p w14:paraId="064DA257" w14:textId="77777777" w:rsidR="00132E7D" w:rsidRPr="00EA7FD9" w:rsidRDefault="00132E7D" w:rsidP="00BE4B35">
      <w:pPr>
        <w:rPr>
          <w:rFonts w:ascii="Calibri" w:hAnsi="Calibri" w:cs="Calibri"/>
          <w:sz w:val="28"/>
          <w:szCs w:val="28"/>
          <w:lang w:val="hr-HR"/>
        </w:rPr>
      </w:pPr>
    </w:p>
    <w:p w14:paraId="6B599595" w14:textId="77777777" w:rsidR="00132E7D" w:rsidRPr="00AB6EE2" w:rsidRDefault="00132E7D" w:rsidP="00357AA3">
      <w:pPr>
        <w:spacing w:before="40" w:after="40" w:line="259" w:lineRule="auto"/>
        <w:jc w:val="center"/>
        <w:rPr>
          <w:b/>
          <w:bCs/>
          <w:sz w:val="40"/>
          <w:szCs w:val="40"/>
          <w:lang w:val="hr-HR"/>
        </w:rPr>
      </w:pPr>
      <w:r>
        <w:rPr>
          <w:b/>
          <w:bCs/>
          <w:sz w:val="40"/>
          <w:szCs w:val="40"/>
          <w:lang w:val="hr-HR"/>
        </w:rPr>
        <w:t xml:space="preserve">REPUBLIKA </w:t>
      </w:r>
      <w:r w:rsidRPr="00AB6EE2">
        <w:rPr>
          <w:b/>
          <w:bCs/>
          <w:sz w:val="40"/>
          <w:szCs w:val="40"/>
          <w:lang w:val="hr-HR"/>
        </w:rPr>
        <w:t>HRVATSKA</w:t>
      </w:r>
    </w:p>
    <w:p w14:paraId="66CC54E3" w14:textId="77777777" w:rsidR="00132E7D" w:rsidRPr="00AB6EE2" w:rsidRDefault="00132E7D" w:rsidP="00357AA3">
      <w:pPr>
        <w:spacing w:before="40" w:after="40" w:line="259" w:lineRule="auto"/>
        <w:jc w:val="center"/>
        <w:rPr>
          <w:b/>
          <w:bCs/>
          <w:sz w:val="36"/>
          <w:szCs w:val="36"/>
          <w:lang w:val="hr-HR"/>
        </w:rPr>
      </w:pPr>
      <w:r>
        <w:rPr>
          <w:b/>
          <w:bCs/>
          <w:sz w:val="36"/>
          <w:szCs w:val="36"/>
          <w:lang w:val="hr-HR"/>
        </w:rPr>
        <w:t xml:space="preserve">PRIMJENA </w:t>
      </w:r>
      <w:r w:rsidRPr="00AB6EE2">
        <w:rPr>
          <w:b/>
          <w:bCs/>
          <w:sz w:val="36"/>
          <w:szCs w:val="36"/>
          <w:lang w:val="hr-HR"/>
        </w:rPr>
        <w:t>KO</w:t>
      </w:r>
      <w:r>
        <w:rPr>
          <w:b/>
          <w:bCs/>
          <w:sz w:val="36"/>
          <w:szCs w:val="36"/>
          <w:lang w:val="hr-HR"/>
        </w:rPr>
        <w:t>H</w:t>
      </w:r>
      <w:r w:rsidRPr="00AB6EE2">
        <w:rPr>
          <w:b/>
          <w:bCs/>
          <w:sz w:val="36"/>
          <w:szCs w:val="36"/>
          <w:lang w:val="hr-HR"/>
        </w:rPr>
        <w:t>EZIJSK</w:t>
      </w:r>
      <w:r>
        <w:rPr>
          <w:b/>
          <w:bCs/>
          <w:sz w:val="36"/>
          <w:szCs w:val="36"/>
          <w:lang w:val="hr-HR"/>
        </w:rPr>
        <w:t xml:space="preserve">E </w:t>
      </w:r>
      <w:r w:rsidRPr="00AB6EE2">
        <w:rPr>
          <w:b/>
          <w:bCs/>
          <w:sz w:val="36"/>
          <w:szCs w:val="36"/>
          <w:lang w:val="hr-HR"/>
        </w:rPr>
        <w:t>POLITIK</w:t>
      </w:r>
      <w:r>
        <w:rPr>
          <w:b/>
          <w:bCs/>
          <w:sz w:val="36"/>
          <w:szCs w:val="36"/>
          <w:lang w:val="hr-HR"/>
        </w:rPr>
        <w:t>E EUROPSKE UNIJE</w:t>
      </w:r>
      <w:r w:rsidRPr="00AB6EE2">
        <w:rPr>
          <w:b/>
          <w:bCs/>
          <w:sz w:val="36"/>
          <w:szCs w:val="36"/>
          <w:lang w:val="hr-HR"/>
        </w:rPr>
        <w:t xml:space="preserve"> 2014. </w:t>
      </w:r>
      <w:r>
        <w:rPr>
          <w:b/>
          <w:bCs/>
          <w:sz w:val="36"/>
          <w:szCs w:val="36"/>
          <w:lang w:val="hr-HR"/>
        </w:rPr>
        <w:t>-</w:t>
      </w:r>
      <w:r w:rsidRPr="00AB6EE2">
        <w:rPr>
          <w:b/>
          <w:bCs/>
          <w:sz w:val="36"/>
          <w:szCs w:val="36"/>
          <w:lang w:val="hr-HR"/>
        </w:rPr>
        <w:t xml:space="preserve"> 2020.</w:t>
      </w:r>
    </w:p>
    <w:p w14:paraId="47E167B3" w14:textId="77777777" w:rsidR="00132E7D" w:rsidRPr="00EA7FD9" w:rsidRDefault="00132E7D" w:rsidP="00BE4B35">
      <w:pPr>
        <w:spacing w:before="40" w:after="40"/>
        <w:jc w:val="center"/>
        <w:rPr>
          <w:rFonts w:ascii="Calibri" w:hAnsi="Calibri" w:cs="Calibri"/>
          <w:b/>
          <w:bCs/>
          <w:sz w:val="28"/>
          <w:szCs w:val="28"/>
          <w:lang w:val="hr-H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32E7D" w:rsidRPr="00CF2B98" w14:paraId="1BDF84F3" w14:textId="77777777">
        <w:tc>
          <w:tcPr>
            <w:tcW w:w="9016" w:type="dxa"/>
          </w:tcPr>
          <w:p w14:paraId="2D5412B3" w14:textId="77777777" w:rsidR="00132E7D" w:rsidRPr="00EA7FD9" w:rsidRDefault="00132E7D" w:rsidP="004E5469">
            <w:pPr>
              <w:spacing w:before="40" w:after="40" w:line="259" w:lineRule="auto"/>
              <w:jc w:val="center"/>
              <w:rPr>
                <w:rFonts w:ascii="Calibri" w:hAnsi="Calibri" w:cs="Calibri"/>
                <w:b/>
                <w:bCs/>
                <w:sz w:val="28"/>
                <w:szCs w:val="28"/>
                <w:lang w:val="hr-HR"/>
              </w:rPr>
            </w:pPr>
          </w:p>
          <w:p w14:paraId="0D5E1A3F" w14:textId="77777777" w:rsidR="00132E7D" w:rsidRPr="00EA7FD9" w:rsidRDefault="00132E7D" w:rsidP="004E5469">
            <w:pPr>
              <w:spacing w:before="40" w:after="40" w:line="276" w:lineRule="auto"/>
              <w:jc w:val="center"/>
              <w:rPr>
                <w:rFonts w:ascii="Calibri" w:hAnsi="Calibri" w:cs="Calibri"/>
                <w:b/>
                <w:bCs/>
                <w:sz w:val="44"/>
                <w:szCs w:val="44"/>
                <w:lang w:val="hr-HR"/>
              </w:rPr>
            </w:pPr>
            <w:r w:rsidRPr="00EA7FD9">
              <w:rPr>
                <w:rFonts w:ascii="Calibri" w:hAnsi="Calibri" w:cs="Calibri"/>
                <w:b/>
                <w:bCs/>
                <w:sz w:val="44"/>
                <w:szCs w:val="44"/>
                <w:lang w:val="hr-HR"/>
              </w:rPr>
              <w:t>Preliminarna procjena potreba za korištenjem financijskog instrumenta JESSICA</w:t>
            </w:r>
          </w:p>
          <w:p w14:paraId="6E21A5B8" w14:textId="77777777" w:rsidR="00132E7D" w:rsidRPr="00EA7FD9" w:rsidRDefault="00132E7D" w:rsidP="004E5469">
            <w:pPr>
              <w:spacing w:before="40" w:after="40" w:line="276" w:lineRule="auto"/>
              <w:jc w:val="center"/>
              <w:rPr>
                <w:rFonts w:ascii="Calibri" w:hAnsi="Calibri" w:cs="Calibri"/>
                <w:b/>
                <w:bCs/>
                <w:sz w:val="28"/>
                <w:szCs w:val="28"/>
                <w:lang w:val="hr-HR"/>
              </w:rPr>
            </w:pPr>
          </w:p>
        </w:tc>
      </w:tr>
    </w:tbl>
    <w:p w14:paraId="68FC108D" w14:textId="77777777" w:rsidR="00132E7D" w:rsidRPr="00EA7FD9" w:rsidRDefault="00132E7D" w:rsidP="00BE4B35">
      <w:pPr>
        <w:spacing w:before="40" w:after="40"/>
        <w:jc w:val="center"/>
        <w:rPr>
          <w:rFonts w:ascii="Calibri" w:hAnsi="Calibri" w:cs="Calibri"/>
          <w:b/>
          <w:bCs/>
          <w:sz w:val="28"/>
          <w:szCs w:val="28"/>
          <w:lang w:val="hr-HR"/>
        </w:rPr>
      </w:pPr>
    </w:p>
    <w:p w14:paraId="2913ECDB" w14:textId="77777777" w:rsidR="00132E7D" w:rsidRPr="00EA7FD9" w:rsidRDefault="00132E7D" w:rsidP="00BE4B35">
      <w:pPr>
        <w:spacing w:before="40" w:after="40"/>
        <w:jc w:val="center"/>
        <w:rPr>
          <w:rFonts w:ascii="Calibri" w:hAnsi="Calibri" w:cs="Calibri"/>
          <w:b/>
          <w:bCs/>
          <w:sz w:val="32"/>
          <w:szCs w:val="32"/>
          <w:u w:val="single"/>
          <w:lang w:val="hr-HR"/>
        </w:rPr>
      </w:pPr>
    </w:p>
    <w:p w14:paraId="7C725C28" w14:textId="77777777" w:rsidR="00132E7D" w:rsidRPr="00EA7FD9" w:rsidRDefault="00132E7D" w:rsidP="00BE4B35">
      <w:pPr>
        <w:spacing w:before="40" w:after="40"/>
        <w:jc w:val="center"/>
        <w:rPr>
          <w:rFonts w:ascii="Calibri" w:hAnsi="Calibri" w:cs="Calibri"/>
          <w:b/>
          <w:bCs/>
          <w:sz w:val="32"/>
          <w:szCs w:val="32"/>
          <w:u w:val="single"/>
          <w:lang w:val="hr-HR"/>
        </w:rPr>
      </w:pPr>
      <w:r>
        <w:rPr>
          <w:rFonts w:ascii="Calibri" w:hAnsi="Calibri" w:cs="Calibri"/>
          <w:b/>
          <w:bCs/>
          <w:sz w:val="32"/>
          <w:szCs w:val="32"/>
          <w:u w:val="single"/>
          <w:lang w:val="hr-HR"/>
        </w:rPr>
        <w:t>ZADATAK</w:t>
      </w:r>
      <w:r w:rsidRPr="00EA7FD9">
        <w:rPr>
          <w:rFonts w:ascii="Calibri" w:hAnsi="Calibri" w:cs="Calibri"/>
          <w:b/>
          <w:bCs/>
          <w:sz w:val="32"/>
          <w:szCs w:val="32"/>
          <w:u w:val="single"/>
          <w:lang w:val="hr-HR"/>
        </w:rPr>
        <w:t xml:space="preserve"> 1.4</w:t>
      </w:r>
    </w:p>
    <w:p w14:paraId="28D76A0A" w14:textId="77777777" w:rsidR="00132E7D" w:rsidRPr="00EA7FD9" w:rsidRDefault="00132E7D" w:rsidP="00BE4B35">
      <w:pPr>
        <w:spacing w:before="40" w:after="40"/>
        <w:jc w:val="center"/>
        <w:rPr>
          <w:rFonts w:ascii="Calibri" w:hAnsi="Calibri" w:cs="Calibri"/>
          <w:b/>
          <w:bCs/>
          <w:sz w:val="28"/>
          <w:szCs w:val="28"/>
          <w:lang w:val="hr-HR"/>
        </w:rPr>
      </w:pPr>
    </w:p>
    <w:p w14:paraId="6B0BD04E" w14:textId="77777777" w:rsidR="00132E7D" w:rsidRPr="00EA7FD9" w:rsidRDefault="00132E7D" w:rsidP="00BE4B35">
      <w:pPr>
        <w:spacing w:before="40" w:after="40"/>
        <w:jc w:val="center"/>
        <w:rPr>
          <w:rFonts w:ascii="Calibri" w:hAnsi="Calibri" w:cs="Calibri"/>
          <w:b/>
          <w:bCs/>
          <w:sz w:val="28"/>
          <w:szCs w:val="28"/>
          <w:lang w:val="hr-HR"/>
        </w:rPr>
      </w:pPr>
    </w:p>
    <w:p w14:paraId="3F4335E6" w14:textId="77777777" w:rsidR="00132E7D" w:rsidRPr="00EA7FD9" w:rsidRDefault="00132E7D" w:rsidP="00BE4B35">
      <w:pPr>
        <w:spacing w:before="40" w:after="40"/>
        <w:jc w:val="center"/>
        <w:rPr>
          <w:rFonts w:ascii="Calibri" w:hAnsi="Calibri" w:cs="Calibri"/>
          <w:b/>
          <w:bCs/>
          <w:sz w:val="28"/>
          <w:szCs w:val="28"/>
          <w:lang w:val="hr-HR"/>
        </w:rPr>
      </w:pPr>
    </w:p>
    <w:p w14:paraId="1077923F" w14:textId="77777777" w:rsidR="00132E7D" w:rsidRPr="00EA7FD9" w:rsidRDefault="00132E7D" w:rsidP="00BE4B35">
      <w:pPr>
        <w:spacing w:before="40" w:after="40"/>
        <w:jc w:val="center"/>
        <w:rPr>
          <w:rFonts w:ascii="Calibri" w:hAnsi="Calibri" w:cs="Calibri"/>
          <w:b/>
          <w:bCs/>
          <w:sz w:val="28"/>
          <w:szCs w:val="28"/>
          <w:lang w:val="hr-HR"/>
        </w:rPr>
      </w:pPr>
    </w:p>
    <w:p w14:paraId="56323E9F" w14:textId="77777777" w:rsidR="00132E7D" w:rsidRPr="00EA7FD9" w:rsidRDefault="00132E7D" w:rsidP="00BE4B35">
      <w:pPr>
        <w:spacing w:before="40" w:after="40"/>
        <w:jc w:val="center"/>
        <w:rPr>
          <w:rFonts w:ascii="Calibri" w:hAnsi="Calibri" w:cs="Calibri"/>
          <w:b/>
          <w:bCs/>
          <w:sz w:val="28"/>
          <w:szCs w:val="28"/>
          <w:lang w:val="hr-HR"/>
        </w:rPr>
      </w:pPr>
    </w:p>
    <w:p w14:paraId="60993B64" w14:textId="77777777" w:rsidR="00132E7D" w:rsidRPr="00EA7FD9" w:rsidRDefault="00132E7D" w:rsidP="00357AA3">
      <w:pPr>
        <w:spacing w:before="40" w:after="40"/>
        <w:rPr>
          <w:rFonts w:ascii="Calibri" w:hAnsi="Calibri" w:cs="Calibri"/>
          <w:b/>
          <w:bCs/>
          <w:sz w:val="28"/>
          <w:szCs w:val="28"/>
          <w:lang w:val="hr-HR"/>
        </w:rPr>
      </w:pPr>
    </w:p>
    <w:p w14:paraId="71885F2A" w14:textId="77777777" w:rsidR="00132E7D" w:rsidRPr="00EA7FD9" w:rsidRDefault="00132E7D" w:rsidP="00BE4B35">
      <w:pPr>
        <w:spacing w:before="40" w:after="40"/>
        <w:jc w:val="center"/>
        <w:rPr>
          <w:rFonts w:ascii="Calibri" w:hAnsi="Calibri" w:cs="Calibri"/>
          <w:b/>
          <w:bCs/>
          <w:sz w:val="28"/>
          <w:szCs w:val="28"/>
          <w:lang w:val="hr-HR"/>
        </w:rPr>
      </w:pPr>
      <w:r>
        <w:rPr>
          <w:rFonts w:ascii="Calibri" w:hAnsi="Calibri" w:cs="Calibri"/>
          <w:b/>
          <w:bCs/>
          <w:sz w:val="28"/>
          <w:szCs w:val="28"/>
          <w:lang w:val="hr-HR"/>
        </w:rPr>
        <w:t>L</w:t>
      </w:r>
      <w:r w:rsidRPr="00EA7FD9">
        <w:rPr>
          <w:rFonts w:ascii="Calibri" w:hAnsi="Calibri" w:cs="Calibri"/>
          <w:b/>
          <w:bCs/>
          <w:sz w:val="28"/>
          <w:szCs w:val="28"/>
          <w:lang w:val="hr-HR"/>
        </w:rPr>
        <w:t>ipanj 2014.</w:t>
      </w:r>
    </w:p>
    <w:p w14:paraId="1B861F49" w14:textId="77777777" w:rsidR="00CF2B98" w:rsidRPr="00AC1B45" w:rsidRDefault="00CF2B98" w:rsidP="00CF2B98">
      <w:pPr>
        <w:rPr>
          <w:sz w:val="28"/>
          <w:szCs w:val="28"/>
          <w:lang w:val="hr-HR"/>
        </w:rPr>
      </w:pPr>
    </w:p>
    <w:p w14:paraId="036AED4B" w14:textId="77777777" w:rsidR="00CF2B98" w:rsidRPr="001C0B95" w:rsidRDefault="00CF2B98" w:rsidP="00CF2B98">
      <w:pPr>
        <w:jc w:val="center"/>
        <w:rPr>
          <w:sz w:val="28"/>
          <w:szCs w:val="28"/>
          <w:lang w:val="es-AR"/>
        </w:rPr>
      </w:pPr>
      <w:r>
        <w:rPr>
          <w:noProof/>
          <w:lang w:val="en-US"/>
        </w:rPr>
        <w:drawing>
          <wp:anchor distT="0" distB="0" distL="114300" distR="114300" simplePos="0" relativeHeight="251660288" behindDoc="1" locked="0" layoutInCell="1" allowOverlap="1" wp14:anchorId="09CC9F20" wp14:editId="0A014AF2">
            <wp:simplePos x="0" y="0"/>
            <wp:positionH relativeFrom="column">
              <wp:posOffset>1213525</wp:posOffset>
            </wp:positionH>
            <wp:positionV relativeFrom="paragraph">
              <wp:posOffset>184573</wp:posOffset>
            </wp:positionV>
            <wp:extent cx="1501140" cy="900430"/>
            <wp:effectExtent l="0" t="0" r="3810" b="0"/>
            <wp:wrapNone/>
            <wp:docPr id="57" name="Picture 3" descr="Strukturni-i-investicijski-fondovi-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ukturni-i-investicijski-fondovi-logo-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114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E0B72" w14:textId="77777777" w:rsidR="00CF2B98" w:rsidRPr="001C0B95" w:rsidRDefault="00CF2B98" w:rsidP="00CF2B98">
      <w:pPr>
        <w:rPr>
          <w:sz w:val="20"/>
          <w:szCs w:val="20"/>
          <w:lang w:val="es-AR"/>
        </w:rPr>
      </w:pPr>
      <w:r>
        <w:rPr>
          <w:noProof/>
          <w:lang w:val="en-US"/>
        </w:rPr>
        <w:drawing>
          <wp:anchor distT="0" distB="0" distL="114300" distR="114300" simplePos="0" relativeHeight="251662336" behindDoc="0" locked="0" layoutInCell="1" allowOverlap="1" wp14:anchorId="6EA4E1DB" wp14:editId="46797463">
            <wp:simplePos x="0" y="0"/>
            <wp:positionH relativeFrom="column">
              <wp:posOffset>4770755</wp:posOffset>
            </wp:positionH>
            <wp:positionV relativeFrom="paragraph">
              <wp:posOffset>111760</wp:posOffset>
            </wp:positionV>
            <wp:extent cx="527685" cy="697230"/>
            <wp:effectExtent l="0" t="0" r="5715" b="7620"/>
            <wp:wrapNone/>
            <wp:docPr id="60" name="Slika 15" descr="Coat_of_arms_of_Croa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_of_arms_of_Croat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1" locked="0" layoutInCell="1" allowOverlap="1" wp14:anchorId="3C72CE1C" wp14:editId="1B59E157">
            <wp:simplePos x="0" y="0"/>
            <wp:positionH relativeFrom="column">
              <wp:posOffset>2797810</wp:posOffset>
            </wp:positionH>
            <wp:positionV relativeFrom="paragraph">
              <wp:posOffset>142875</wp:posOffset>
            </wp:positionV>
            <wp:extent cx="1483360" cy="713105"/>
            <wp:effectExtent l="0" t="0" r="2540" b="0"/>
            <wp:wrapNone/>
            <wp:docPr id="59" name="Picture 1" descr="konkurentna hrvat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kurentna hrvats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336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0" wp14:anchorId="62267FED" wp14:editId="7A067F36">
            <wp:simplePos x="0" y="0"/>
            <wp:positionH relativeFrom="margin">
              <wp:posOffset>-441710</wp:posOffset>
            </wp:positionH>
            <wp:positionV relativeFrom="paragraph">
              <wp:posOffset>84260</wp:posOffset>
            </wp:positionV>
            <wp:extent cx="1219200" cy="791845"/>
            <wp:effectExtent l="0" t="0" r="0" b="8255"/>
            <wp:wrapNone/>
            <wp:docPr id="58" name="Picture 2" descr="EU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FL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9ECE7" w14:textId="77777777" w:rsidR="00CF2B98" w:rsidRPr="001C0B95" w:rsidRDefault="00CF2B98" w:rsidP="00CF2B98">
      <w:pPr>
        <w:jc w:val="center"/>
        <w:rPr>
          <w:sz w:val="28"/>
          <w:szCs w:val="28"/>
          <w:lang w:val="es-AR"/>
        </w:rPr>
      </w:pPr>
      <w:r w:rsidRPr="001C0B95">
        <w:rPr>
          <w:sz w:val="28"/>
          <w:szCs w:val="28"/>
          <w:lang w:val="es-AR"/>
        </w:rPr>
        <w:t xml:space="preserve">      </w:t>
      </w:r>
    </w:p>
    <w:p w14:paraId="58F2479D" w14:textId="77777777" w:rsidR="00CF2B98" w:rsidRPr="001C0B95" w:rsidRDefault="00CF2B98" w:rsidP="00CF2B98">
      <w:pPr>
        <w:tabs>
          <w:tab w:val="left" w:pos="3790"/>
        </w:tabs>
        <w:rPr>
          <w:sz w:val="20"/>
          <w:szCs w:val="20"/>
          <w:lang w:val="es-AR"/>
        </w:rPr>
      </w:pPr>
      <w:r w:rsidRPr="001C0B95">
        <w:rPr>
          <w:sz w:val="20"/>
          <w:szCs w:val="20"/>
          <w:lang w:val="es-AR"/>
        </w:rPr>
        <w:tab/>
      </w:r>
    </w:p>
    <w:p w14:paraId="61B228E0" w14:textId="77777777" w:rsidR="00CF2B98" w:rsidRPr="001C0B95" w:rsidRDefault="00CF2B98" w:rsidP="00CF2B98">
      <w:pPr>
        <w:rPr>
          <w:sz w:val="20"/>
          <w:szCs w:val="20"/>
          <w:lang w:val="es-AR"/>
        </w:rPr>
      </w:pPr>
    </w:p>
    <w:p w14:paraId="0AD70739" w14:textId="77777777" w:rsidR="00CF2B98" w:rsidRDefault="00CF2B98" w:rsidP="00CF2B98">
      <w:pPr>
        <w:spacing w:before="40" w:after="40" w:line="259" w:lineRule="auto"/>
        <w:jc w:val="center"/>
        <w:rPr>
          <w:sz w:val="20"/>
          <w:szCs w:val="20"/>
          <w:lang w:val="es-AR"/>
        </w:rPr>
      </w:pPr>
    </w:p>
    <w:p w14:paraId="763CD41F" w14:textId="77777777" w:rsidR="00CF2B98" w:rsidRDefault="00CF2B98" w:rsidP="00CF2B98">
      <w:pPr>
        <w:spacing w:before="40" w:after="40" w:line="259" w:lineRule="auto"/>
        <w:jc w:val="center"/>
        <w:rPr>
          <w:sz w:val="20"/>
          <w:szCs w:val="20"/>
          <w:lang w:val="es-AR"/>
        </w:rPr>
      </w:pPr>
    </w:p>
    <w:p w14:paraId="16A28EDE" w14:textId="77777777" w:rsidR="00CF2B98" w:rsidRDefault="00CF2B98" w:rsidP="00CF2B98">
      <w:pPr>
        <w:spacing w:before="40" w:after="40" w:line="259" w:lineRule="auto"/>
        <w:ind w:left="-720"/>
        <w:rPr>
          <w:rFonts w:ascii="Arial Narrow" w:hAnsi="Arial Narrow"/>
          <w:sz w:val="20"/>
          <w:szCs w:val="20"/>
          <w:lang w:val="es-AR"/>
        </w:rPr>
      </w:pPr>
      <w:r w:rsidRPr="001C0B95">
        <w:rPr>
          <w:rFonts w:ascii="Arial Narrow" w:hAnsi="Arial Narrow"/>
          <w:sz w:val="20"/>
          <w:szCs w:val="20"/>
          <w:lang w:val="es-AR"/>
        </w:rPr>
        <w:t xml:space="preserve">Projekt financira Europska unija iz </w:t>
      </w:r>
    </w:p>
    <w:p w14:paraId="754F99CF" w14:textId="77777777" w:rsidR="00CF2B98" w:rsidRPr="00174400" w:rsidRDefault="00CF2B98" w:rsidP="00CF2B98">
      <w:pPr>
        <w:spacing w:before="40" w:after="40" w:line="259" w:lineRule="auto"/>
        <w:ind w:left="-720"/>
        <w:rPr>
          <w:rFonts w:ascii="Calibri" w:hAnsi="Calibri" w:cs="Calibri"/>
          <w:b/>
          <w:bCs/>
          <w:sz w:val="28"/>
          <w:szCs w:val="28"/>
          <w:lang w:val="hr-HR"/>
        </w:rPr>
      </w:pPr>
      <w:r w:rsidRPr="001C0B95">
        <w:rPr>
          <w:rFonts w:ascii="Arial Narrow" w:hAnsi="Arial Narrow"/>
          <w:sz w:val="20"/>
          <w:szCs w:val="20"/>
          <w:lang w:val="es-AR"/>
        </w:rPr>
        <w:t>Europskog fonda za regionalni razvoj</w:t>
      </w:r>
    </w:p>
    <w:p w14:paraId="17B7C76B" w14:textId="77777777" w:rsidR="00132E7D" w:rsidRPr="00EA7FD9" w:rsidRDefault="00132E7D" w:rsidP="00BE4B35">
      <w:pPr>
        <w:spacing w:before="40" w:after="40"/>
        <w:jc w:val="center"/>
        <w:rPr>
          <w:rFonts w:ascii="Calibri" w:hAnsi="Calibri" w:cs="Calibri"/>
          <w:b/>
          <w:bCs/>
          <w:sz w:val="28"/>
          <w:szCs w:val="28"/>
          <w:lang w:val="hr-HR"/>
        </w:rPr>
      </w:pPr>
    </w:p>
    <w:p w14:paraId="006A22C6" w14:textId="77777777" w:rsidR="00132E7D" w:rsidRPr="00EA7FD9" w:rsidRDefault="00132E7D" w:rsidP="00BE4B35">
      <w:pPr>
        <w:spacing w:before="40" w:after="40"/>
        <w:jc w:val="center"/>
        <w:rPr>
          <w:rFonts w:ascii="Calibri" w:hAnsi="Calibri" w:cs="Calibri"/>
          <w:b/>
          <w:bCs/>
          <w:sz w:val="28"/>
          <w:szCs w:val="28"/>
          <w:lang w:val="hr-HR"/>
        </w:rPr>
      </w:pPr>
    </w:p>
    <w:p w14:paraId="02C4C3AD" w14:textId="77777777" w:rsidR="00132E7D" w:rsidRPr="00EA7FD9" w:rsidRDefault="00132E7D" w:rsidP="00BE4B35">
      <w:pPr>
        <w:spacing w:before="40" w:after="40"/>
        <w:jc w:val="center"/>
        <w:rPr>
          <w:rFonts w:ascii="Calibri" w:hAnsi="Calibri" w:cs="Calibri"/>
          <w:b/>
          <w:bCs/>
          <w:sz w:val="20"/>
          <w:szCs w:val="20"/>
          <w:lang w:val="hr-HR"/>
        </w:rPr>
      </w:pPr>
      <w:r w:rsidRPr="00EA7FD9">
        <w:rPr>
          <w:rFonts w:ascii="Calibri" w:hAnsi="Calibri" w:cs="Calibri"/>
          <w:b/>
          <w:bCs/>
          <w:sz w:val="20"/>
          <w:szCs w:val="20"/>
          <w:lang w:val="hr-HR"/>
        </w:rPr>
        <w:t>HRVATSKA</w:t>
      </w:r>
    </w:p>
    <w:p w14:paraId="51936ABC" w14:textId="77777777" w:rsidR="00132E7D" w:rsidRPr="00EA7FD9" w:rsidRDefault="00132E7D" w:rsidP="00BE4B35">
      <w:pPr>
        <w:spacing w:before="40" w:after="40"/>
        <w:jc w:val="center"/>
        <w:rPr>
          <w:rFonts w:ascii="Calibri" w:hAnsi="Calibri" w:cs="Calibri"/>
          <w:b/>
          <w:bCs/>
          <w:sz w:val="20"/>
          <w:szCs w:val="20"/>
          <w:lang w:val="hr-HR"/>
        </w:rPr>
      </w:pPr>
      <w:r w:rsidRPr="00EA7FD9">
        <w:rPr>
          <w:rFonts w:ascii="Calibri" w:hAnsi="Calibri" w:cs="Calibri"/>
          <w:b/>
          <w:bCs/>
          <w:sz w:val="20"/>
          <w:szCs w:val="20"/>
          <w:lang w:val="hr-HR"/>
        </w:rPr>
        <w:t>KOHEZIJSKA POLITIKA 2014.-2020.</w:t>
      </w:r>
    </w:p>
    <w:p w14:paraId="1F729E0D" w14:textId="77777777" w:rsidR="00132E7D" w:rsidRPr="00EA7FD9" w:rsidRDefault="00132E7D" w:rsidP="00BE4B35">
      <w:pPr>
        <w:spacing w:before="40" w:after="40"/>
        <w:jc w:val="center"/>
        <w:rPr>
          <w:rFonts w:ascii="Calibri" w:hAnsi="Calibri" w:cs="Calibri"/>
          <w:b/>
          <w:bCs/>
          <w:sz w:val="20"/>
          <w:szCs w:val="20"/>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tblGrid>
      <w:tr w:rsidR="00132E7D" w:rsidRPr="00CF2B98" w14:paraId="52633C03" w14:textId="77777777">
        <w:trPr>
          <w:jc w:val="center"/>
        </w:trPr>
        <w:tc>
          <w:tcPr>
            <w:tcW w:w="5245" w:type="dxa"/>
          </w:tcPr>
          <w:p w14:paraId="0B262B99" w14:textId="77777777" w:rsidR="00132E7D" w:rsidRPr="00EA7FD9" w:rsidRDefault="00132E7D" w:rsidP="00EA7FD9">
            <w:pPr>
              <w:spacing w:before="120" w:after="120" w:line="276" w:lineRule="auto"/>
              <w:jc w:val="center"/>
              <w:rPr>
                <w:rFonts w:ascii="Calibri" w:hAnsi="Calibri" w:cs="Calibri"/>
                <w:b/>
                <w:bCs/>
                <w:sz w:val="24"/>
                <w:szCs w:val="24"/>
                <w:lang w:val="hr-HR"/>
              </w:rPr>
            </w:pPr>
            <w:r w:rsidRPr="00EA7FD9">
              <w:rPr>
                <w:rFonts w:ascii="Calibri" w:hAnsi="Calibri" w:cs="Calibri"/>
                <w:b/>
                <w:bCs/>
                <w:sz w:val="24"/>
                <w:szCs w:val="24"/>
                <w:lang w:val="hr-HR"/>
              </w:rPr>
              <w:t>Preliminarna procjena potreba za korištenjem financijskog instrumenta JESSICA</w:t>
            </w:r>
          </w:p>
        </w:tc>
      </w:tr>
    </w:tbl>
    <w:p w14:paraId="4402181B" w14:textId="77777777" w:rsidR="00132E7D" w:rsidRPr="00EA7FD9" w:rsidRDefault="00132E7D" w:rsidP="00BE4B35">
      <w:pPr>
        <w:spacing w:before="40" w:after="40"/>
        <w:jc w:val="center"/>
        <w:rPr>
          <w:rFonts w:ascii="Calibri" w:hAnsi="Calibri" w:cs="Calibri"/>
          <w:b/>
          <w:bCs/>
          <w:u w:val="single"/>
          <w:lang w:val="hr-HR"/>
        </w:rPr>
      </w:pPr>
    </w:p>
    <w:p w14:paraId="1F63958F" w14:textId="77777777" w:rsidR="00132E7D" w:rsidRPr="00EA7FD9" w:rsidRDefault="00132E7D" w:rsidP="00BE4B35">
      <w:pPr>
        <w:spacing w:before="40" w:after="40"/>
        <w:jc w:val="center"/>
        <w:rPr>
          <w:rFonts w:ascii="Calibri" w:hAnsi="Calibri" w:cs="Calibri"/>
          <w:b/>
          <w:bCs/>
          <w:u w:val="single"/>
          <w:lang w:val="hr-HR"/>
        </w:rPr>
      </w:pPr>
      <w:r>
        <w:rPr>
          <w:rFonts w:ascii="Calibri" w:hAnsi="Calibri" w:cs="Calibri"/>
          <w:b/>
          <w:bCs/>
          <w:u w:val="single"/>
          <w:lang w:val="hr-HR"/>
        </w:rPr>
        <w:t>ZADATAK</w:t>
      </w:r>
      <w:r w:rsidRPr="00EA7FD9">
        <w:rPr>
          <w:rFonts w:ascii="Calibri" w:hAnsi="Calibri" w:cs="Calibri"/>
          <w:b/>
          <w:bCs/>
          <w:u w:val="single"/>
          <w:lang w:val="hr-HR"/>
        </w:rPr>
        <w:t>1.4</w:t>
      </w:r>
    </w:p>
    <w:p w14:paraId="4A6D48F2" w14:textId="77777777" w:rsidR="00132E7D" w:rsidRPr="00EA7FD9" w:rsidRDefault="00132E7D" w:rsidP="00BE4B35">
      <w:pPr>
        <w:spacing w:before="40" w:after="40"/>
        <w:jc w:val="center"/>
        <w:rPr>
          <w:rFonts w:ascii="Calibri" w:hAnsi="Calibri" w:cs="Calibri"/>
          <w:b/>
          <w:bCs/>
          <w:sz w:val="28"/>
          <w:szCs w:val="28"/>
          <w:lang w:val="hr-HR"/>
        </w:rPr>
      </w:pPr>
    </w:p>
    <w:p w14:paraId="5D943604" w14:textId="77777777" w:rsidR="00132E7D" w:rsidRPr="00EA7FD9" w:rsidRDefault="00132E7D" w:rsidP="00BE4B35">
      <w:pPr>
        <w:spacing w:before="40" w:after="40"/>
        <w:jc w:val="center"/>
        <w:rPr>
          <w:rFonts w:ascii="Calibri" w:hAnsi="Calibri" w:cs="Calibri"/>
          <w:b/>
          <w:bCs/>
          <w:sz w:val="28"/>
          <w:szCs w:val="28"/>
          <w:lang w:val="hr-HR"/>
        </w:rPr>
      </w:pPr>
    </w:p>
    <w:p w14:paraId="19E929F2" w14:textId="77777777" w:rsidR="00132E7D" w:rsidRPr="00EA7FD9" w:rsidRDefault="00132E7D" w:rsidP="00BE4B35">
      <w:pPr>
        <w:spacing w:before="40" w:after="40"/>
        <w:jc w:val="center"/>
        <w:rPr>
          <w:rFonts w:ascii="Calibri" w:hAnsi="Calibri" w:cs="Calibri"/>
          <w:b/>
          <w:bCs/>
          <w:sz w:val="32"/>
          <w:szCs w:val="32"/>
          <w:u w:val="single"/>
          <w:lang w:val="hr-HR"/>
        </w:rPr>
      </w:pPr>
      <w:r w:rsidRPr="00EA7FD9">
        <w:rPr>
          <w:rFonts w:ascii="Calibri" w:hAnsi="Calibri" w:cs="Calibri"/>
          <w:b/>
          <w:bCs/>
          <w:sz w:val="32"/>
          <w:szCs w:val="32"/>
          <w:u w:val="single"/>
          <w:lang w:val="hr-HR"/>
        </w:rPr>
        <w:t>Sadržaj</w:t>
      </w:r>
    </w:p>
    <w:p w14:paraId="20FAF15F" w14:textId="77777777" w:rsidR="00132E7D" w:rsidRPr="00EA7FD9" w:rsidRDefault="00132E7D" w:rsidP="00BE4B35">
      <w:pPr>
        <w:spacing w:before="40" w:after="40"/>
        <w:jc w:val="center"/>
        <w:rPr>
          <w:rFonts w:ascii="Calibri" w:hAnsi="Calibri" w:cs="Calibri"/>
          <w:b/>
          <w:bCs/>
          <w:sz w:val="28"/>
          <w:szCs w:val="28"/>
          <w:lang w:val="hr-HR"/>
        </w:rPr>
      </w:pPr>
    </w:p>
    <w:p w14:paraId="560A95CA" w14:textId="77777777" w:rsidR="00132E7D" w:rsidRPr="00EA7FD9" w:rsidRDefault="00132E7D" w:rsidP="00A07C93">
      <w:pPr>
        <w:tabs>
          <w:tab w:val="left" w:pos="1965"/>
        </w:tabs>
        <w:spacing w:before="40" w:after="40"/>
        <w:rPr>
          <w:rFonts w:ascii="Calibri" w:hAnsi="Calibri" w:cs="Calibri"/>
          <w:b/>
          <w:bCs/>
          <w:sz w:val="28"/>
          <w:szCs w:val="28"/>
          <w:lang w:val="hr-HR"/>
        </w:rPr>
      </w:pPr>
      <w:r w:rsidRPr="00EA7FD9">
        <w:rPr>
          <w:rFonts w:ascii="Calibri" w:hAnsi="Calibri" w:cs="Calibri"/>
          <w:b/>
          <w:bCs/>
          <w:sz w:val="28"/>
          <w:szCs w:val="28"/>
          <w:lang w:val="hr-HR"/>
        </w:rPr>
        <w:tab/>
      </w:r>
    </w:p>
    <w:p w14:paraId="6F213CC6" w14:textId="77777777" w:rsidR="00132E7D" w:rsidRPr="002747E6" w:rsidRDefault="00132E7D">
      <w:pPr>
        <w:pStyle w:val="TOC1"/>
        <w:tabs>
          <w:tab w:val="left" w:pos="440"/>
          <w:tab w:val="right" w:leader="dot" w:pos="9016"/>
        </w:tabs>
        <w:rPr>
          <w:rFonts w:ascii="Calibri" w:hAnsi="Calibri" w:cs="Calibri"/>
          <w:b/>
          <w:bCs/>
          <w:noProof/>
          <w:lang w:val="en-US"/>
        </w:rPr>
      </w:pPr>
      <w:r w:rsidRPr="002747E6">
        <w:rPr>
          <w:rFonts w:ascii="Calibri" w:hAnsi="Calibri" w:cs="Calibri"/>
          <w:b/>
          <w:bCs/>
          <w:lang w:val="hr-HR"/>
        </w:rPr>
        <w:fldChar w:fldCharType="begin"/>
      </w:r>
      <w:r w:rsidRPr="002747E6">
        <w:rPr>
          <w:rFonts w:ascii="Calibri" w:hAnsi="Calibri" w:cs="Calibri"/>
          <w:b/>
          <w:bCs/>
          <w:lang w:val="hr-HR"/>
        </w:rPr>
        <w:instrText xml:space="preserve"> TOC \o "1-3" \h \z \t "1.4 - Heading 1,1,1.4 - Heading 2,2" </w:instrText>
      </w:r>
      <w:r w:rsidRPr="002747E6">
        <w:rPr>
          <w:rFonts w:ascii="Calibri" w:hAnsi="Calibri" w:cs="Calibri"/>
          <w:b/>
          <w:bCs/>
          <w:lang w:val="hr-HR"/>
        </w:rPr>
        <w:fldChar w:fldCharType="separate"/>
      </w:r>
      <w:hyperlink w:anchor="_Toc394052268" w:history="1">
        <w:r w:rsidRPr="002747E6">
          <w:rPr>
            <w:rStyle w:val="Hyperlink"/>
            <w:rFonts w:ascii="Calibri" w:hAnsi="Calibri" w:cs="Calibri"/>
            <w:b/>
            <w:bCs/>
            <w:noProof/>
            <w:lang w:val="hr-HR"/>
          </w:rPr>
          <w:t>1.</w:t>
        </w:r>
        <w:r w:rsidRPr="002747E6">
          <w:rPr>
            <w:rFonts w:ascii="Calibri" w:hAnsi="Calibri" w:cs="Calibri"/>
            <w:b/>
            <w:bCs/>
            <w:noProof/>
            <w:lang w:val="en-US"/>
          </w:rPr>
          <w:tab/>
        </w:r>
        <w:r w:rsidRPr="002747E6">
          <w:rPr>
            <w:rStyle w:val="Hyperlink"/>
            <w:rFonts w:ascii="Calibri" w:hAnsi="Calibri" w:cs="Calibri"/>
            <w:b/>
            <w:bCs/>
            <w:noProof/>
            <w:lang w:val="hr-HR"/>
          </w:rPr>
          <w:t>Uvod</w:t>
        </w:r>
        <w:r w:rsidRPr="002747E6">
          <w:rPr>
            <w:rFonts w:ascii="Calibri" w:hAnsi="Calibri" w:cs="Calibri"/>
            <w:b/>
            <w:bCs/>
            <w:noProof/>
            <w:webHidden/>
          </w:rPr>
          <w:tab/>
        </w:r>
        <w:r w:rsidRPr="002747E6">
          <w:rPr>
            <w:rFonts w:ascii="Calibri" w:hAnsi="Calibri" w:cs="Calibri"/>
            <w:b/>
            <w:bCs/>
            <w:noProof/>
            <w:webHidden/>
          </w:rPr>
          <w:fldChar w:fldCharType="begin"/>
        </w:r>
        <w:r w:rsidRPr="002747E6">
          <w:rPr>
            <w:rFonts w:ascii="Calibri" w:hAnsi="Calibri" w:cs="Calibri"/>
            <w:b/>
            <w:bCs/>
            <w:noProof/>
            <w:webHidden/>
          </w:rPr>
          <w:instrText xml:space="preserve"> PAGEREF _Toc394052268 \h </w:instrText>
        </w:r>
        <w:r w:rsidRPr="002747E6">
          <w:rPr>
            <w:rFonts w:ascii="Calibri" w:hAnsi="Calibri" w:cs="Calibri"/>
            <w:b/>
            <w:bCs/>
            <w:noProof/>
            <w:webHidden/>
          </w:rPr>
        </w:r>
        <w:r w:rsidRPr="002747E6">
          <w:rPr>
            <w:rFonts w:ascii="Calibri" w:hAnsi="Calibri" w:cs="Calibri"/>
            <w:b/>
            <w:bCs/>
            <w:noProof/>
            <w:webHidden/>
          </w:rPr>
          <w:fldChar w:fldCharType="separate"/>
        </w:r>
        <w:r w:rsidR="00CF2B98">
          <w:rPr>
            <w:rFonts w:ascii="Calibri" w:hAnsi="Calibri" w:cs="Calibri"/>
            <w:b/>
            <w:bCs/>
            <w:noProof/>
            <w:webHidden/>
          </w:rPr>
          <w:t>3</w:t>
        </w:r>
        <w:r w:rsidRPr="002747E6">
          <w:rPr>
            <w:rFonts w:ascii="Calibri" w:hAnsi="Calibri" w:cs="Calibri"/>
            <w:b/>
            <w:bCs/>
            <w:noProof/>
            <w:webHidden/>
          </w:rPr>
          <w:fldChar w:fldCharType="end"/>
        </w:r>
      </w:hyperlink>
    </w:p>
    <w:p w14:paraId="69256253" w14:textId="664B2BD5" w:rsidR="00132E7D" w:rsidRPr="002747E6" w:rsidRDefault="00512BDE">
      <w:pPr>
        <w:pStyle w:val="TOC1"/>
        <w:tabs>
          <w:tab w:val="right" w:leader="dot" w:pos="9016"/>
        </w:tabs>
        <w:rPr>
          <w:rFonts w:ascii="Calibri" w:hAnsi="Calibri" w:cs="Calibri"/>
          <w:b/>
          <w:bCs/>
          <w:noProof/>
          <w:lang w:val="en-US"/>
        </w:rPr>
      </w:pPr>
      <w:hyperlink w:anchor="_Toc394052269" w:history="1">
        <w:r w:rsidR="00132E7D" w:rsidRPr="002747E6">
          <w:rPr>
            <w:rStyle w:val="Hyperlink"/>
            <w:rFonts w:ascii="Calibri" w:hAnsi="Calibri" w:cs="Calibri"/>
            <w:b/>
            <w:bCs/>
            <w:noProof/>
            <w:lang w:val="hr-HR"/>
          </w:rPr>
          <w:t>2. Financijski instrument JESSICA</w:t>
        </w:r>
        <w:r w:rsidR="00132E7D" w:rsidRPr="002747E6">
          <w:rPr>
            <w:rFonts w:ascii="Calibri" w:hAnsi="Calibri" w:cs="Calibri"/>
            <w:b/>
            <w:bCs/>
            <w:noProof/>
            <w:webHidden/>
          </w:rPr>
          <w:tab/>
        </w:r>
        <w:r w:rsidR="00132E7D" w:rsidRPr="002747E6">
          <w:rPr>
            <w:rFonts w:ascii="Calibri" w:hAnsi="Calibri" w:cs="Calibri"/>
            <w:b/>
            <w:bCs/>
            <w:noProof/>
            <w:webHidden/>
          </w:rPr>
          <w:fldChar w:fldCharType="begin"/>
        </w:r>
        <w:r w:rsidR="00132E7D" w:rsidRPr="002747E6">
          <w:rPr>
            <w:rFonts w:ascii="Calibri" w:hAnsi="Calibri" w:cs="Calibri"/>
            <w:b/>
            <w:bCs/>
            <w:noProof/>
            <w:webHidden/>
          </w:rPr>
          <w:instrText xml:space="preserve"> PAGEREF _Toc394052269 \h </w:instrText>
        </w:r>
        <w:r w:rsidR="00132E7D" w:rsidRPr="002747E6">
          <w:rPr>
            <w:rFonts w:ascii="Calibri" w:hAnsi="Calibri" w:cs="Calibri"/>
            <w:b/>
            <w:bCs/>
            <w:noProof/>
            <w:webHidden/>
          </w:rPr>
        </w:r>
        <w:r w:rsidR="00132E7D" w:rsidRPr="002747E6">
          <w:rPr>
            <w:rFonts w:ascii="Calibri" w:hAnsi="Calibri" w:cs="Calibri"/>
            <w:b/>
            <w:bCs/>
            <w:noProof/>
            <w:webHidden/>
          </w:rPr>
          <w:fldChar w:fldCharType="separate"/>
        </w:r>
        <w:r w:rsidR="00CF2B98">
          <w:rPr>
            <w:rFonts w:ascii="Calibri" w:hAnsi="Calibri" w:cs="Calibri"/>
            <w:b/>
            <w:bCs/>
            <w:noProof/>
            <w:webHidden/>
          </w:rPr>
          <w:t>5</w:t>
        </w:r>
        <w:r w:rsidR="00132E7D" w:rsidRPr="002747E6">
          <w:rPr>
            <w:rFonts w:ascii="Calibri" w:hAnsi="Calibri" w:cs="Calibri"/>
            <w:b/>
            <w:bCs/>
            <w:noProof/>
            <w:webHidden/>
          </w:rPr>
          <w:fldChar w:fldCharType="end"/>
        </w:r>
      </w:hyperlink>
    </w:p>
    <w:p w14:paraId="5A3A07A8" w14:textId="13AC3381" w:rsidR="00132E7D" w:rsidRPr="002747E6" w:rsidRDefault="00512BDE">
      <w:pPr>
        <w:pStyle w:val="TOC1"/>
        <w:tabs>
          <w:tab w:val="left" w:pos="440"/>
          <w:tab w:val="right" w:leader="dot" w:pos="9016"/>
        </w:tabs>
        <w:rPr>
          <w:rFonts w:ascii="Calibri" w:hAnsi="Calibri" w:cs="Calibri"/>
          <w:b/>
          <w:bCs/>
          <w:noProof/>
          <w:lang w:val="en-US"/>
        </w:rPr>
      </w:pPr>
      <w:hyperlink w:anchor="_Toc394052270" w:history="1">
        <w:r w:rsidR="00132E7D" w:rsidRPr="002747E6">
          <w:rPr>
            <w:rStyle w:val="Hyperlink"/>
            <w:rFonts w:ascii="Calibri" w:hAnsi="Calibri" w:cs="Calibri"/>
            <w:b/>
            <w:bCs/>
            <w:noProof/>
            <w:lang w:val="hr-HR"/>
          </w:rPr>
          <w:t>3.</w:t>
        </w:r>
        <w:r w:rsidR="00132E7D" w:rsidRPr="002747E6">
          <w:rPr>
            <w:rFonts w:ascii="Calibri" w:hAnsi="Calibri" w:cs="Calibri"/>
            <w:b/>
            <w:bCs/>
            <w:noProof/>
            <w:lang w:val="en-US"/>
          </w:rPr>
          <w:tab/>
        </w:r>
        <w:r w:rsidR="00132E7D" w:rsidRPr="002747E6">
          <w:rPr>
            <w:rStyle w:val="Hyperlink"/>
            <w:rFonts w:ascii="Calibri" w:hAnsi="Calibri" w:cs="Calibri"/>
            <w:b/>
            <w:bCs/>
            <w:noProof/>
            <w:lang w:val="hr-HR"/>
          </w:rPr>
          <w:t>Iskustva s primjenom instrumenta JESSICA u razdoblju 2007.-2013.</w:t>
        </w:r>
        <w:r w:rsidR="00132E7D" w:rsidRPr="002747E6">
          <w:rPr>
            <w:rFonts w:ascii="Calibri" w:hAnsi="Calibri" w:cs="Calibri"/>
            <w:b/>
            <w:bCs/>
            <w:noProof/>
            <w:webHidden/>
          </w:rPr>
          <w:tab/>
        </w:r>
        <w:r w:rsidR="00132E7D" w:rsidRPr="002747E6">
          <w:rPr>
            <w:rFonts w:ascii="Calibri" w:hAnsi="Calibri" w:cs="Calibri"/>
            <w:b/>
            <w:bCs/>
            <w:noProof/>
            <w:webHidden/>
          </w:rPr>
          <w:fldChar w:fldCharType="begin"/>
        </w:r>
        <w:r w:rsidR="00132E7D" w:rsidRPr="002747E6">
          <w:rPr>
            <w:rFonts w:ascii="Calibri" w:hAnsi="Calibri" w:cs="Calibri"/>
            <w:b/>
            <w:bCs/>
            <w:noProof/>
            <w:webHidden/>
          </w:rPr>
          <w:instrText xml:space="preserve"> PAGEREF _Toc394052270 \h </w:instrText>
        </w:r>
        <w:r w:rsidR="00132E7D" w:rsidRPr="002747E6">
          <w:rPr>
            <w:rFonts w:ascii="Calibri" w:hAnsi="Calibri" w:cs="Calibri"/>
            <w:b/>
            <w:bCs/>
            <w:noProof/>
            <w:webHidden/>
          </w:rPr>
        </w:r>
        <w:r w:rsidR="00132E7D" w:rsidRPr="002747E6">
          <w:rPr>
            <w:rFonts w:ascii="Calibri" w:hAnsi="Calibri" w:cs="Calibri"/>
            <w:b/>
            <w:bCs/>
            <w:noProof/>
            <w:webHidden/>
          </w:rPr>
          <w:fldChar w:fldCharType="separate"/>
        </w:r>
        <w:r w:rsidR="00CF2B98">
          <w:rPr>
            <w:rFonts w:ascii="Calibri" w:hAnsi="Calibri" w:cs="Calibri"/>
            <w:b/>
            <w:bCs/>
            <w:noProof/>
            <w:webHidden/>
          </w:rPr>
          <w:t>11</w:t>
        </w:r>
        <w:r w:rsidR="00132E7D" w:rsidRPr="002747E6">
          <w:rPr>
            <w:rFonts w:ascii="Calibri" w:hAnsi="Calibri" w:cs="Calibri"/>
            <w:b/>
            <w:bCs/>
            <w:noProof/>
            <w:webHidden/>
          </w:rPr>
          <w:fldChar w:fldCharType="end"/>
        </w:r>
      </w:hyperlink>
    </w:p>
    <w:p w14:paraId="7F449B62" w14:textId="50408AC5" w:rsidR="00132E7D" w:rsidRPr="002747E6" w:rsidRDefault="00512BDE">
      <w:pPr>
        <w:pStyle w:val="TOC2"/>
        <w:tabs>
          <w:tab w:val="left" w:pos="880"/>
          <w:tab w:val="right" w:leader="dot" w:pos="9016"/>
        </w:tabs>
        <w:rPr>
          <w:rFonts w:ascii="Calibri" w:hAnsi="Calibri" w:cs="Calibri"/>
          <w:b/>
          <w:bCs/>
          <w:noProof/>
          <w:lang w:val="en-US"/>
        </w:rPr>
      </w:pPr>
      <w:hyperlink w:anchor="_Toc394052271" w:history="1">
        <w:r w:rsidR="00132E7D" w:rsidRPr="002747E6">
          <w:rPr>
            <w:rStyle w:val="Hyperlink"/>
            <w:rFonts w:ascii="Calibri" w:hAnsi="Calibri" w:cs="Calibri"/>
            <w:b/>
            <w:bCs/>
            <w:noProof/>
            <w:lang w:val="hr-HR"/>
          </w:rPr>
          <w:t>3.1</w:t>
        </w:r>
        <w:r w:rsidR="00132E7D" w:rsidRPr="002747E6">
          <w:rPr>
            <w:rFonts w:ascii="Calibri" w:hAnsi="Calibri" w:cs="Calibri"/>
            <w:b/>
            <w:bCs/>
            <w:noProof/>
            <w:lang w:val="en-US"/>
          </w:rPr>
          <w:tab/>
        </w:r>
        <w:r w:rsidR="00132E7D" w:rsidRPr="002747E6">
          <w:rPr>
            <w:rStyle w:val="Hyperlink"/>
            <w:rFonts w:ascii="Calibri" w:hAnsi="Calibri" w:cs="Calibri"/>
            <w:b/>
            <w:bCs/>
            <w:noProof/>
            <w:lang w:val="hr-HR"/>
          </w:rPr>
          <w:t>Opseg korištenja</w:t>
        </w:r>
        <w:r w:rsidR="00132E7D" w:rsidRPr="002747E6">
          <w:rPr>
            <w:rFonts w:ascii="Calibri" w:hAnsi="Calibri" w:cs="Calibri"/>
            <w:b/>
            <w:bCs/>
            <w:noProof/>
            <w:webHidden/>
          </w:rPr>
          <w:tab/>
        </w:r>
        <w:r w:rsidR="00132E7D" w:rsidRPr="002747E6">
          <w:rPr>
            <w:rFonts w:ascii="Calibri" w:hAnsi="Calibri" w:cs="Calibri"/>
            <w:b/>
            <w:bCs/>
            <w:noProof/>
            <w:webHidden/>
          </w:rPr>
          <w:fldChar w:fldCharType="begin"/>
        </w:r>
        <w:r w:rsidR="00132E7D" w:rsidRPr="002747E6">
          <w:rPr>
            <w:rFonts w:ascii="Calibri" w:hAnsi="Calibri" w:cs="Calibri"/>
            <w:b/>
            <w:bCs/>
            <w:noProof/>
            <w:webHidden/>
          </w:rPr>
          <w:instrText xml:space="preserve"> PAGEREF _Toc394052271 \h </w:instrText>
        </w:r>
        <w:r w:rsidR="00132E7D" w:rsidRPr="002747E6">
          <w:rPr>
            <w:rFonts w:ascii="Calibri" w:hAnsi="Calibri" w:cs="Calibri"/>
            <w:b/>
            <w:bCs/>
            <w:noProof/>
            <w:webHidden/>
          </w:rPr>
        </w:r>
        <w:r w:rsidR="00132E7D" w:rsidRPr="002747E6">
          <w:rPr>
            <w:rFonts w:ascii="Calibri" w:hAnsi="Calibri" w:cs="Calibri"/>
            <w:b/>
            <w:bCs/>
            <w:noProof/>
            <w:webHidden/>
          </w:rPr>
          <w:fldChar w:fldCharType="separate"/>
        </w:r>
        <w:r w:rsidR="00CF2B98">
          <w:rPr>
            <w:rFonts w:ascii="Calibri" w:hAnsi="Calibri" w:cs="Calibri"/>
            <w:b/>
            <w:bCs/>
            <w:noProof/>
            <w:webHidden/>
          </w:rPr>
          <w:t>11</w:t>
        </w:r>
        <w:r w:rsidR="00132E7D" w:rsidRPr="002747E6">
          <w:rPr>
            <w:rFonts w:ascii="Calibri" w:hAnsi="Calibri" w:cs="Calibri"/>
            <w:b/>
            <w:bCs/>
            <w:noProof/>
            <w:webHidden/>
          </w:rPr>
          <w:fldChar w:fldCharType="end"/>
        </w:r>
      </w:hyperlink>
    </w:p>
    <w:p w14:paraId="0609F943" w14:textId="5718762A" w:rsidR="00132E7D" w:rsidRPr="002747E6" w:rsidRDefault="00512BDE">
      <w:pPr>
        <w:pStyle w:val="TOC2"/>
        <w:tabs>
          <w:tab w:val="left" w:pos="880"/>
          <w:tab w:val="right" w:leader="dot" w:pos="9016"/>
        </w:tabs>
        <w:rPr>
          <w:rFonts w:ascii="Calibri" w:hAnsi="Calibri" w:cs="Calibri"/>
          <w:b/>
          <w:bCs/>
          <w:noProof/>
          <w:lang w:val="en-US"/>
        </w:rPr>
      </w:pPr>
      <w:hyperlink w:anchor="_Toc394052272" w:history="1">
        <w:r w:rsidR="00132E7D" w:rsidRPr="002747E6">
          <w:rPr>
            <w:rStyle w:val="Hyperlink"/>
            <w:rFonts w:ascii="Calibri" w:hAnsi="Calibri" w:cs="Calibri"/>
            <w:b/>
            <w:bCs/>
            <w:noProof/>
            <w:lang w:val="hr-HR"/>
          </w:rPr>
          <w:t>3.2</w:t>
        </w:r>
        <w:r w:rsidR="00132E7D" w:rsidRPr="002747E6">
          <w:rPr>
            <w:rFonts w:ascii="Calibri" w:hAnsi="Calibri" w:cs="Calibri"/>
            <w:b/>
            <w:bCs/>
            <w:noProof/>
            <w:lang w:val="en-US"/>
          </w:rPr>
          <w:tab/>
        </w:r>
        <w:r w:rsidR="00132E7D" w:rsidRPr="002747E6">
          <w:rPr>
            <w:rStyle w:val="Hyperlink"/>
            <w:rFonts w:ascii="Calibri" w:hAnsi="Calibri" w:cs="Calibri"/>
            <w:b/>
            <w:bCs/>
            <w:noProof/>
            <w:lang w:val="hr-HR"/>
          </w:rPr>
          <w:t>Opseg i razmjer ulaganja</w:t>
        </w:r>
        <w:r w:rsidR="00132E7D" w:rsidRPr="002747E6">
          <w:rPr>
            <w:rFonts w:ascii="Calibri" w:hAnsi="Calibri" w:cs="Calibri"/>
            <w:b/>
            <w:bCs/>
            <w:noProof/>
            <w:webHidden/>
          </w:rPr>
          <w:tab/>
        </w:r>
        <w:r w:rsidR="00132E7D" w:rsidRPr="002747E6">
          <w:rPr>
            <w:rFonts w:ascii="Calibri" w:hAnsi="Calibri" w:cs="Calibri"/>
            <w:b/>
            <w:bCs/>
            <w:noProof/>
            <w:webHidden/>
          </w:rPr>
          <w:fldChar w:fldCharType="begin"/>
        </w:r>
        <w:r w:rsidR="00132E7D" w:rsidRPr="002747E6">
          <w:rPr>
            <w:rFonts w:ascii="Calibri" w:hAnsi="Calibri" w:cs="Calibri"/>
            <w:b/>
            <w:bCs/>
            <w:noProof/>
            <w:webHidden/>
          </w:rPr>
          <w:instrText xml:space="preserve"> PAGEREF _Toc394052272 \h </w:instrText>
        </w:r>
        <w:r w:rsidR="00132E7D" w:rsidRPr="002747E6">
          <w:rPr>
            <w:rFonts w:ascii="Calibri" w:hAnsi="Calibri" w:cs="Calibri"/>
            <w:b/>
            <w:bCs/>
            <w:noProof/>
            <w:webHidden/>
          </w:rPr>
        </w:r>
        <w:r w:rsidR="00132E7D" w:rsidRPr="002747E6">
          <w:rPr>
            <w:rFonts w:ascii="Calibri" w:hAnsi="Calibri" w:cs="Calibri"/>
            <w:b/>
            <w:bCs/>
            <w:noProof/>
            <w:webHidden/>
          </w:rPr>
          <w:fldChar w:fldCharType="separate"/>
        </w:r>
        <w:r w:rsidR="00CF2B98">
          <w:rPr>
            <w:rFonts w:ascii="Calibri" w:hAnsi="Calibri" w:cs="Calibri"/>
            <w:b/>
            <w:bCs/>
            <w:noProof/>
            <w:webHidden/>
          </w:rPr>
          <w:t>13</w:t>
        </w:r>
        <w:r w:rsidR="00132E7D" w:rsidRPr="002747E6">
          <w:rPr>
            <w:rFonts w:ascii="Calibri" w:hAnsi="Calibri" w:cs="Calibri"/>
            <w:b/>
            <w:bCs/>
            <w:noProof/>
            <w:webHidden/>
          </w:rPr>
          <w:fldChar w:fldCharType="end"/>
        </w:r>
      </w:hyperlink>
    </w:p>
    <w:p w14:paraId="47AC4027" w14:textId="607A17DA" w:rsidR="00132E7D" w:rsidRPr="002747E6" w:rsidRDefault="00512BDE">
      <w:pPr>
        <w:pStyle w:val="TOC1"/>
        <w:tabs>
          <w:tab w:val="left" w:pos="440"/>
          <w:tab w:val="right" w:leader="dot" w:pos="9016"/>
        </w:tabs>
        <w:rPr>
          <w:rFonts w:ascii="Calibri" w:hAnsi="Calibri" w:cs="Calibri"/>
          <w:b/>
          <w:bCs/>
          <w:noProof/>
          <w:lang w:val="en-US"/>
        </w:rPr>
      </w:pPr>
      <w:hyperlink w:anchor="_Toc394052273" w:history="1">
        <w:r w:rsidR="00132E7D" w:rsidRPr="002747E6">
          <w:rPr>
            <w:rStyle w:val="Hyperlink"/>
            <w:rFonts w:ascii="Calibri" w:hAnsi="Calibri" w:cs="Calibri"/>
            <w:b/>
            <w:bCs/>
            <w:noProof/>
            <w:lang w:val="hr-HR"/>
          </w:rPr>
          <w:t>4.</w:t>
        </w:r>
        <w:r w:rsidR="00132E7D" w:rsidRPr="002747E6">
          <w:rPr>
            <w:rFonts w:ascii="Calibri" w:hAnsi="Calibri" w:cs="Calibri"/>
            <w:b/>
            <w:bCs/>
            <w:noProof/>
            <w:lang w:val="en-US"/>
          </w:rPr>
          <w:tab/>
        </w:r>
        <w:r w:rsidR="00132E7D" w:rsidRPr="002747E6">
          <w:rPr>
            <w:rStyle w:val="Hyperlink"/>
            <w:rFonts w:ascii="Calibri" w:hAnsi="Calibri" w:cs="Calibri"/>
            <w:b/>
            <w:bCs/>
            <w:noProof/>
            <w:lang w:val="hr-HR"/>
          </w:rPr>
          <w:t>Uvjeti ulaganja u Hrvatskoj</w:t>
        </w:r>
        <w:r w:rsidR="00132E7D" w:rsidRPr="002747E6">
          <w:rPr>
            <w:rFonts w:ascii="Calibri" w:hAnsi="Calibri" w:cs="Calibri"/>
            <w:b/>
            <w:bCs/>
            <w:noProof/>
            <w:webHidden/>
          </w:rPr>
          <w:tab/>
        </w:r>
        <w:r w:rsidR="00132E7D" w:rsidRPr="002747E6">
          <w:rPr>
            <w:rFonts w:ascii="Calibri" w:hAnsi="Calibri" w:cs="Calibri"/>
            <w:b/>
            <w:bCs/>
            <w:noProof/>
            <w:webHidden/>
          </w:rPr>
          <w:fldChar w:fldCharType="begin"/>
        </w:r>
        <w:r w:rsidR="00132E7D" w:rsidRPr="002747E6">
          <w:rPr>
            <w:rFonts w:ascii="Calibri" w:hAnsi="Calibri" w:cs="Calibri"/>
            <w:b/>
            <w:bCs/>
            <w:noProof/>
            <w:webHidden/>
          </w:rPr>
          <w:instrText xml:space="preserve"> PAGEREF _Toc394052273 \h </w:instrText>
        </w:r>
        <w:r w:rsidR="00132E7D" w:rsidRPr="002747E6">
          <w:rPr>
            <w:rFonts w:ascii="Calibri" w:hAnsi="Calibri" w:cs="Calibri"/>
            <w:b/>
            <w:bCs/>
            <w:noProof/>
            <w:webHidden/>
          </w:rPr>
        </w:r>
        <w:r w:rsidR="00132E7D" w:rsidRPr="002747E6">
          <w:rPr>
            <w:rFonts w:ascii="Calibri" w:hAnsi="Calibri" w:cs="Calibri"/>
            <w:b/>
            <w:bCs/>
            <w:noProof/>
            <w:webHidden/>
          </w:rPr>
          <w:fldChar w:fldCharType="separate"/>
        </w:r>
        <w:r w:rsidR="00CF2B98">
          <w:rPr>
            <w:rFonts w:ascii="Calibri" w:hAnsi="Calibri" w:cs="Calibri"/>
            <w:b/>
            <w:bCs/>
            <w:noProof/>
            <w:webHidden/>
          </w:rPr>
          <w:t>15</w:t>
        </w:r>
        <w:r w:rsidR="00132E7D" w:rsidRPr="002747E6">
          <w:rPr>
            <w:rFonts w:ascii="Calibri" w:hAnsi="Calibri" w:cs="Calibri"/>
            <w:b/>
            <w:bCs/>
            <w:noProof/>
            <w:webHidden/>
          </w:rPr>
          <w:fldChar w:fldCharType="end"/>
        </w:r>
      </w:hyperlink>
    </w:p>
    <w:p w14:paraId="3625F694" w14:textId="46F1E3EE" w:rsidR="00132E7D" w:rsidRPr="002747E6" w:rsidRDefault="00512BDE">
      <w:pPr>
        <w:pStyle w:val="TOC2"/>
        <w:tabs>
          <w:tab w:val="left" w:pos="880"/>
          <w:tab w:val="right" w:leader="dot" w:pos="9016"/>
        </w:tabs>
        <w:rPr>
          <w:rFonts w:ascii="Calibri" w:hAnsi="Calibri" w:cs="Calibri"/>
          <w:b/>
          <w:bCs/>
          <w:noProof/>
          <w:lang w:val="en-US"/>
        </w:rPr>
      </w:pPr>
      <w:hyperlink w:anchor="_Toc394052274" w:history="1">
        <w:r w:rsidR="00132E7D" w:rsidRPr="002747E6">
          <w:rPr>
            <w:rStyle w:val="Hyperlink"/>
            <w:rFonts w:ascii="Calibri" w:hAnsi="Calibri" w:cs="Calibri"/>
            <w:b/>
            <w:bCs/>
            <w:noProof/>
            <w:lang w:val="hr-HR"/>
          </w:rPr>
          <w:t>4.1</w:t>
        </w:r>
        <w:r w:rsidR="00132E7D" w:rsidRPr="002747E6">
          <w:rPr>
            <w:rFonts w:ascii="Calibri" w:hAnsi="Calibri" w:cs="Calibri"/>
            <w:b/>
            <w:bCs/>
            <w:noProof/>
            <w:lang w:val="en-US"/>
          </w:rPr>
          <w:tab/>
        </w:r>
        <w:r w:rsidR="00132E7D" w:rsidRPr="002747E6">
          <w:rPr>
            <w:rStyle w:val="Hyperlink"/>
            <w:rFonts w:ascii="Calibri" w:hAnsi="Calibri" w:cs="Calibri"/>
            <w:b/>
            <w:bCs/>
            <w:noProof/>
            <w:lang w:val="hr-HR"/>
          </w:rPr>
          <w:t>Hrvatsko tržište komercijalnih nekretnina</w:t>
        </w:r>
        <w:r w:rsidR="00132E7D" w:rsidRPr="002747E6">
          <w:rPr>
            <w:rFonts w:ascii="Calibri" w:hAnsi="Calibri" w:cs="Calibri"/>
            <w:b/>
            <w:bCs/>
            <w:noProof/>
            <w:webHidden/>
          </w:rPr>
          <w:tab/>
        </w:r>
        <w:r w:rsidR="00132E7D" w:rsidRPr="002747E6">
          <w:rPr>
            <w:rFonts w:ascii="Calibri" w:hAnsi="Calibri" w:cs="Calibri"/>
            <w:b/>
            <w:bCs/>
            <w:noProof/>
            <w:webHidden/>
          </w:rPr>
          <w:fldChar w:fldCharType="begin"/>
        </w:r>
        <w:r w:rsidR="00132E7D" w:rsidRPr="002747E6">
          <w:rPr>
            <w:rFonts w:ascii="Calibri" w:hAnsi="Calibri" w:cs="Calibri"/>
            <w:b/>
            <w:bCs/>
            <w:noProof/>
            <w:webHidden/>
          </w:rPr>
          <w:instrText xml:space="preserve"> PAGEREF _Toc394052274 \h </w:instrText>
        </w:r>
        <w:r w:rsidR="00132E7D" w:rsidRPr="002747E6">
          <w:rPr>
            <w:rFonts w:ascii="Calibri" w:hAnsi="Calibri" w:cs="Calibri"/>
            <w:b/>
            <w:bCs/>
            <w:noProof/>
            <w:webHidden/>
          </w:rPr>
        </w:r>
        <w:r w:rsidR="00132E7D" w:rsidRPr="002747E6">
          <w:rPr>
            <w:rFonts w:ascii="Calibri" w:hAnsi="Calibri" w:cs="Calibri"/>
            <w:b/>
            <w:bCs/>
            <w:noProof/>
            <w:webHidden/>
          </w:rPr>
          <w:fldChar w:fldCharType="separate"/>
        </w:r>
        <w:r w:rsidR="00CF2B98">
          <w:rPr>
            <w:rFonts w:ascii="Calibri" w:hAnsi="Calibri" w:cs="Calibri"/>
            <w:b/>
            <w:bCs/>
            <w:noProof/>
            <w:webHidden/>
          </w:rPr>
          <w:t>15</w:t>
        </w:r>
        <w:r w:rsidR="00132E7D" w:rsidRPr="002747E6">
          <w:rPr>
            <w:rFonts w:ascii="Calibri" w:hAnsi="Calibri" w:cs="Calibri"/>
            <w:b/>
            <w:bCs/>
            <w:noProof/>
            <w:webHidden/>
          </w:rPr>
          <w:fldChar w:fldCharType="end"/>
        </w:r>
      </w:hyperlink>
    </w:p>
    <w:p w14:paraId="69716082" w14:textId="48C20437" w:rsidR="00132E7D" w:rsidRPr="002747E6" w:rsidRDefault="00512BDE">
      <w:pPr>
        <w:pStyle w:val="TOC2"/>
        <w:tabs>
          <w:tab w:val="left" w:pos="880"/>
          <w:tab w:val="right" w:leader="dot" w:pos="9016"/>
        </w:tabs>
        <w:rPr>
          <w:rFonts w:ascii="Calibri" w:hAnsi="Calibri" w:cs="Calibri"/>
          <w:b/>
          <w:bCs/>
          <w:noProof/>
          <w:lang w:val="en-US"/>
        </w:rPr>
      </w:pPr>
      <w:hyperlink w:anchor="_Toc394052275" w:history="1">
        <w:r w:rsidR="00132E7D" w:rsidRPr="002747E6">
          <w:rPr>
            <w:rStyle w:val="Hyperlink"/>
            <w:rFonts w:ascii="Calibri" w:hAnsi="Calibri" w:cs="Calibri"/>
            <w:b/>
            <w:bCs/>
            <w:noProof/>
            <w:lang w:val="hr-HR"/>
          </w:rPr>
          <w:t xml:space="preserve">4.2  </w:t>
        </w:r>
        <w:r w:rsidR="00132E7D" w:rsidRPr="002747E6">
          <w:rPr>
            <w:rFonts w:ascii="Calibri" w:hAnsi="Calibri" w:cs="Calibri"/>
            <w:b/>
            <w:bCs/>
            <w:noProof/>
            <w:lang w:val="en-US"/>
          </w:rPr>
          <w:tab/>
        </w:r>
        <w:r w:rsidR="00132E7D" w:rsidRPr="002747E6">
          <w:rPr>
            <w:rStyle w:val="Hyperlink"/>
            <w:rFonts w:ascii="Calibri" w:hAnsi="Calibri" w:cs="Calibri"/>
            <w:b/>
            <w:bCs/>
            <w:noProof/>
            <w:lang w:val="hr-HR"/>
          </w:rPr>
          <w:t>Aspiracije vezane uz urbani r</w:t>
        </w:r>
        <w:bookmarkStart w:id="0" w:name="_GoBack"/>
        <w:bookmarkEnd w:id="0"/>
        <w:r w:rsidR="00132E7D" w:rsidRPr="002747E6">
          <w:rPr>
            <w:rStyle w:val="Hyperlink"/>
            <w:rFonts w:ascii="Calibri" w:hAnsi="Calibri" w:cs="Calibri"/>
            <w:b/>
            <w:bCs/>
            <w:noProof/>
            <w:lang w:val="hr-HR"/>
          </w:rPr>
          <w:t>azvoj</w:t>
        </w:r>
        <w:r w:rsidR="00132E7D" w:rsidRPr="002747E6">
          <w:rPr>
            <w:rFonts w:ascii="Calibri" w:hAnsi="Calibri" w:cs="Calibri"/>
            <w:b/>
            <w:bCs/>
            <w:noProof/>
            <w:webHidden/>
          </w:rPr>
          <w:tab/>
        </w:r>
        <w:r w:rsidR="00132E7D" w:rsidRPr="002747E6">
          <w:rPr>
            <w:rFonts w:ascii="Calibri" w:hAnsi="Calibri" w:cs="Calibri"/>
            <w:b/>
            <w:bCs/>
            <w:noProof/>
            <w:webHidden/>
          </w:rPr>
          <w:fldChar w:fldCharType="begin"/>
        </w:r>
        <w:r w:rsidR="00132E7D" w:rsidRPr="002747E6">
          <w:rPr>
            <w:rFonts w:ascii="Calibri" w:hAnsi="Calibri" w:cs="Calibri"/>
            <w:b/>
            <w:bCs/>
            <w:noProof/>
            <w:webHidden/>
          </w:rPr>
          <w:instrText xml:space="preserve"> PAGEREF _Toc394052275 \h </w:instrText>
        </w:r>
        <w:r w:rsidR="00132E7D" w:rsidRPr="002747E6">
          <w:rPr>
            <w:rFonts w:ascii="Calibri" w:hAnsi="Calibri" w:cs="Calibri"/>
            <w:b/>
            <w:bCs/>
            <w:noProof/>
            <w:webHidden/>
          </w:rPr>
        </w:r>
        <w:r w:rsidR="00132E7D" w:rsidRPr="002747E6">
          <w:rPr>
            <w:rFonts w:ascii="Calibri" w:hAnsi="Calibri" w:cs="Calibri"/>
            <w:b/>
            <w:bCs/>
            <w:noProof/>
            <w:webHidden/>
          </w:rPr>
          <w:fldChar w:fldCharType="separate"/>
        </w:r>
        <w:r w:rsidR="00CF2B98">
          <w:rPr>
            <w:rFonts w:ascii="Calibri" w:hAnsi="Calibri" w:cs="Calibri"/>
            <w:b/>
            <w:bCs/>
            <w:noProof/>
            <w:webHidden/>
          </w:rPr>
          <w:t>16</w:t>
        </w:r>
        <w:r w:rsidR="00132E7D" w:rsidRPr="002747E6">
          <w:rPr>
            <w:rFonts w:ascii="Calibri" w:hAnsi="Calibri" w:cs="Calibri"/>
            <w:b/>
            <w:bCs/>
            <w:noProof/>
            <w:webHidden/>
          </w:rPr>
          <w:fldChar w:fldCharType="end"/>
        </w:r>
      </w:hyperlink>
    </w:p>
    <w:p w14:paraId="3D9045C6" w14:textId="56289B41" w:rsidR="00132E7D" w:rsidRPr="002747E6" w:rsidRDefault="00512BDE">
      <w:pPr>
        <w:pStyle w:val="TOC2"/>
        <w:tabs>
          <w:tab w:val="left" w:pos="880"/>
          <w:tab w:val="right" w:leader="dot" w:pos="9016"/>
        </w:tabs>
        <w:rPr>
          <w:rFonts w:ascii="Calibri" w:hAnsi="Calibri" w:cs="Calibri"/>
          <w:b/>
          <w:bCs/>
          <w:noProof/>
          <w:lang w:val="en-US"/>
        </w:rPr>
      </w:pPr>
      <w:hyperlink w:anchor="_Toc394052276" w:history="1">
        <w:r w:rsidR="00132E7D" w:rsidRPr="002747E6">
          <w:rPr>
            <w:rStyle w:val="Hyperlink"/>
            <w:rFonts w:ascii="Calibri" w:hAnsi="Calibri" w:cs="Calibri"/>
            <w:b/>
            <w:bCs/>
            <w:noProof/>
            <w:lang w:val="hr-HR"/>
          </w:rPr>
          <w:t>4.3</w:t>
        </w:r>
        <w:r w:rsidR="00132E7D" w:rsidRPr="002747E6">
          <w:rPr>
            <w:rFonts w:ascii="Calibri" w:hAnsi="Calibri" w:cs="Calibri"/>
            <w:b/>
            <w:bCs/>
            <w:noProof/>
            <w:lang w:val="en-US"/>
          </w:rPr>
          <w:tab/>
        </w:r>
        <w:r w:rsidR="00132E7D" w:rsidRPr="002747E6">
          <w:rPr>
            <w:rStyle w:val="Hyperlink"/>
            <w:rFonts w:ascii="Calibri" w:hAnsi="Calibri" w:cs="Calibri"/>
            <w:b/>
            <w:bCs/>
            <w:noProof/>
            <w:lang w:val="hr-HR"/>
          </w:rPr>
          <w:t>Javno-privatna partnerstva</w:t>
        </w:r>
        <w:r w:rsidR="00132E7D" w:rsidRPr="002747E6">
          <w:rPr>
            <w:rFonts w:ascii="Calibri" w:hAnsi="Calibri" w:cs="Calibri"/>
            <w:b/>
            <w:bCs/>
            <w:noProof/>
            <w:webHidden/>
          </w:rPr>
          <w:tab/>
        </w:r>
        <w:r w:rsidR="00132E7D" w:rsidRPr="002747E6">
          <w:rPr>
            <w:rFonts w:ascii="Calibri" w:hAnsi="Calibri" w:cs="Calibri"/>
            <w:b/>
            <w:bCs/>
            <w:noProof/>
            <w:webHidden/>
          </w:rPr>
          <w:fldChar w:fldCharType="begin"/>
        </w:r>
        <w:r w:rsidR="00132E7D" w:rsidRPr="002747E6">
          <w:rPr>
            <w:rFonts w:ascii="Calibri" w:hAnsi="Calibri" w:cs="Calibri"/>
            <w:b/>
            <w:bCs/>
            <w:noProof/>
            <w:webHidden/>
          </w:rPr>
          <w:instrText xml:space="preserve"> PAGEREF _Toc394052276 \h </w:instrText>
        </w:r>
        <w:r w:rsidR="00132E7D" w:rsidRPr="002747E6">
          <w:rPr>
            <w:rFonts w:ascii="Calibri" w:hAnsi="Calibri" w:cs="Calibri"/>
            <w:b/>
            <w:bCs/>
            <w:noProof/>
            <w:webHidden/>
          </w:rPr>
        </w:r>
        <w:r w:rsidR="00132E7D" w:rsidRPr="002747E6">
          <w:rPr>
            <w:rFonts w:ascii="Calibri" w:hAnsi="Calibri" w:cs="Calibri"/>
            <w:b/>
            <w:bCs/>
            <w:noProof/>
            <w:webHidden/>
          </w:rPr>
          <w:fldChar w:fldCharType="separate"/>
        </w:r>
        <w:r w:rsidR="00CF2B98">
          <w:rPr>
            <w:rFonts w:ascii="Calibri" w:hAnsi="Calibri" w:cs="Calibri"/>
            <w:b/>
            <w:bCs/>
            <w:noProof/>
            <w:webHidden/>
          </w:rPr>
          <w:t>17</w:t>
        </w:r>
        <w:r w:rsidR="00132E7D" w:rsidRPr="002747E6">
          <w:rPr>
            <w:rFonts w:ascii="Calibri" w:hAnsi="Calibri" w:cs="Calibri"/>
            <w:b/>
            <w:bCs/>
            <w:noProof/>
            <w:webHidden/>
          </w:rPr>
          <w:fldChar w:fldCharType="end"/>
        </w:r>
      </w:hyperlink>
    </w:p>
    <w:p w14:paraId="62D1A202" w14:textId="6ED8EE51" w:rsidR="00132E7D" w:rsidRPr="002747E6" w:rsidRDefault="00512BDE">
      <w:pPr>
        <w:pStyle w:val="TOC2"/>
        <w:tabs>
          <w:tab w:val="left" w:pos="880"/>
          <w:tab w:val="right" w:leader="dot" w:pos="9016"/>
        </w:tabs>
        <w:rPr>
          <w:rFonts w:ascii="Calibri" w:hAnsi="Calibri" w:cs="Calibri"/>
          <w:b/>
          <w:bCs/>
          <w:noProof/>
          <w:lang w:val="en-US"/>
        </w:rPr>
      </w:pPr>
      <w:hyperlink w:anchor="_Toc394052277" w:history="1">
        <w:r w:rsidR="00132E7D" w:rsidRPr="002747E6">
          <w:rPr>
            <w:rStyle w:val="Hyperlink"/>
            <w:rFonts w:ascii="Calibri" w:hAnsi="Calibri" w:cs="Calibri"/>
            <w:b/>
            <w:bCs/>
            <w:noProof/>
            <w:lang w:val="hr-HR"/>
          </w:rPr>
          <w:t>4.4</w:t>
        </w:r>
        <w:r w:rsidR="00132E7D" w:rsidRPr="002747E6">
          <w:rPr>
            <w:rFonts w:ascii="Calibri" w:hAnsi="Calibri" w:cs="Calibri"/>
            <w:b/>
            <w:bCs/>
            <w:noProof/>
            <w:lang w:val="en-US"/>
          </w:rPr>
          <w:tab/>
        </w:r>
        <w:r w:rsidR="00132E7D" w:rsidRPr="002747E6">
          <w:rPr>
            <w:rStyle w:val="Hyperlink"/>
            <w:rFonts w:ascii="Calibri" w:hAnsi="Calibri" w:cs="Calibri"/>
            <w:b/>
            <w:bCs/>
            <w:noProof/>
            <w:lang w:val="hr-HR"/>
          </w:rPr>
          <w:t>Banke i institucionalni investitori</w:t>
        </w:r>
        <w:r w:rsidR="00132E7D" w:rsidRPr="002747E6">
          <w:rPr>
            <w:rFonts w:ascii="Calibri" w:hAnsi="Calibri" w:cs="Calibri"/>
            <w:b/>
            <w:bCs/>
            <w:noProof/>
            <w:webHidden/>
          </w:rPr>
          <w:tab/>
        </w:r>
        <w:r w:rsidR="00132E7D" w:rsidRPr="002747E6">
          <w:rPr>
            <w:rFonts w:ascii="Calibri" w:hAnsi="Calibri" w:cs="Calibri"/>
            <w:b/>
            <w:bCs/>
            <w:noProof/>
            <w:webHidden/>
          </w:rPr>
          <w:fldChar w:fldCharType="begin"/>
        </w:r>
        <w:r w:rsidR="00132E7D" w:rsidRPr="002747E6">
          <w:rPr>
            <w:rFonts w:ascii="Calibri" w:hAnsi="Calibri" w:cs="Calibri"/>
            <w:b/>
            <w:bCs/>
            <w:noProof/>
            <w:webHidden/>
          </w:rPr>
          <w:instrText xml:space="preserve"> PAGEREF _Toc394052277 \h </w:instrText>
        </w:r>
        <w:r w:rsidR="00132E7D" w:rsidRPr="002747E6">
          <w:rPr>
            <w:rFonts w:ascii="Calibri" w:hAnsi="Calibri" w:cs="Calibri"/>
            <w:b/>
            <w:bCs/>
            <w:noProof/>
            <w:webHidden/>
          </w:rPr>
        </w:r>
        <w:r w:rsidR="00132E7D" w:rsidRPr="002747E6">
          <w:rPr>
            <w:rFonts w:ascii="Calibri" w:hAnsi="Calibri" w:cs="Calibri"/>
            <w:b/>
            <w:bCs/>
            <w:noProof/>
            <w:webHidden/>
          </w:rPr>
          <w:fldChar w:fldCharType="separate"/>
        </w:r>
        <w:r w:rsidR="00CF2B98">
          <w:rPr>
            <w:rFonts w:ascii="Calibri" w:hAnsi="Calibri" w:cs="Calibri"/>
            <w:b/>
            <w:bCs/>
            <w:noProof/>
            <w:webHidden/>
          </w:rPr>
          <w:t>18</w:t>
        </w:r>
        <w:r w:rsidR="00132E7D" w:rsidRPr="002747E6">
          <w:rPr>
            <w:rFonts w:ascii="Calibri" w:hAnsi="Calibri" w:cs="Calibri"/>
            <w:b/>
            <w:bCs/>
            <w:noProof/>
            <w:webHidden/>
          </w:rPr>
          <w:fldChar w:fldCharType="end"/>
        </w:r>
      </w:hyperlink>
    </w:p>
    <w:p w14:paraId="1F4101D7" w14:textId="133B943C" w:rsidR="00132E7D" w:rsidRPr="002747E6" w:rsidRDefault="00512BDE">
      <w:pPr>
        <w:pStyle w:val="TOC2"/>
        <w:tabs>
          <w:tab w:val="left" w:pos="880"/>
          <w:tab w:val="right" w:leader="dot" w:pos="9016"/>
        </w:tabs>
        <w:rPr>
          <w:rFonts w:ascii="Calibri" w:hAnsi="Calibri" w:cs="Calibri"/>
          <w:b/>
          <w:bCs/>
          <w:noProof/>
          <w:lang w:val="en-US"/>
        </w:rPr>
      </w:pPr>
      <w:hyperlink w:anchor="_Toc394052278" w:history="1">
        <w:r w:rsidR="00132E7D" w:rsidRPr="002747E6">
          <w:rPr>
            <w:rStyle w:val="Hyperlink"/>
            <w:rFonts w:ascii="Calibri" w:hAnsi="Calibri" w:cs="Calibri"/>
            <w:b/>
            <w:bCs/>
            <w:noProof/>
            <w:lang w:val="hr-HR"/>
          </w:rPr>
          <w:t>4.5</w:t>
        </w:r>
        <w:r w:rsidR="00132E7D" w:rsidRPr="002747E6">
          <w:rPr>
            <w:rFonts w:ascii="Calibri" w:hAnsi="Calibri" w:cs="Calibri"/>
            <w:b/>
            <w:bCs/>
            <w:noProof/>
            <w:lang w:val="en-US"/>
          </w:rPr>
          <w:tab/>
        </w:r>
        <w:r w:rsidR="00132E7D" w:rsidRPr="002747E6">
          <w:rPr>
            <w:rStyle w:val="Hyperlink"/>
            <w:rFonts w:ascii="Calibri" w:hAnsi="Calibri" w:cs="Calibri"/>
            <w:b/>
            <w:bCs/>
            <w:noProof/>
            <w:lang w:val="hr-HR"/>
          </w:rPr>
          <w:t>Kapacitet za upravljanje fondom za urbani razvoj u okviru JESSICA-e</w:t>
        </w:r>
        <w:r w:rsidR="00132E7D" w:rsidRPr="002747E6">
          <w:rPr>
            <w:rFonts w:ascii="Calibri" w:hAnsi="Calibri" w:cs="Calibri"/>
            <w:b/>
            <w:bCs/>
            <w:noProof/>
            <w:webHidden/>
          </w:rPr>
          <w:tab/>
        </w:r>
        <w:r w:rsidR="00132E7D" w:rsidRPr="002747E6">
          <w:rPr>
            <w:rFonts w:ascii="Calibri" w:hAnsi="Calibri" w:cs="Calibri"/>
            <w:b/>
            <w:bCs/>
            <w:noProof/>
            <w:webHidden/>
          </w:rPr>
          <w:fldChar w:fldCharType="begin"/>
        </w:r>
        <w:r w:rsidR="00132E7D" w:rsidRPr="002747E6">
          <w:rPr>
            <w:rFonts w:ascii="Calibri" w:hAnsi="Calibri" w:cs="Calibri"/>
            <w:b/>
            <w:bCs/>
            <w:noProof/>
            <w:webHidden/>
          </w:rPr>
          <w:instrText xml:space="preserve"> PAGEREF _Toc394052278 \h </w:instrText>
        </w:r>
        <w:r w:rsidR="00132E7D" w:rsidRPr="002747E6">
          <w:rPr>
            <w:rFonts w:ascii="Calibri" w:hAnsi="Calibri" w:cs="Calibri"/>
            <w:b/>
            <w:bCs/>
            <w:noProof/>
            <w:webHidden/>
          </w:rPr>
        </w:r>
        <w:r w:rsidR="00132E7D" w:rsidRPr="002747E6">
          <w:rPr>
            <w:rFonts w:ascii="Calibri" w:hAnsi="Calibri" w:cs="Calibri"/>
            <w:b/>
            <w:bCs/>
            <w:noProof/>
            <w:webHidden/>
          </w:rPr>
          <w:fldChar w:fldCharType="separate"/>
        </w:r>
        <w:r w:rsidR="00CF2B98">
          <w:rPr>
            <w:rFonts w:ascii="Calibri" w:hAnsi="Calibri" w:cs="Calibri"/>
            <w:b/>
            <w:bCs/>
            <w:noProof/>
            <w:webHidden/>
          </w:rPr>
          <w:t>19</w:t>
        </w:r>
        <w:r w:rsidR="00132E7D" w:rsidRPr="002747E6">
          <w:rPr>
            <w:rFonts w:ascii="Calibri" w:hAnsi="Calibri" w:cs="Calibri"/>
            <w:b/>
            <w:bCs/>
            <w:noProof/>
            <w:webHidden/>
          </w:rPr>
          <w:fldChar w:fldCharType="end"/>
        </w:r>
      </w:hyperlink>
    </w:p>
    <w:p w14:paraId="1BF06A27" w14:textId="6FB2908B" w:rsidR="00132E7D" w:rsidRPr="002747E6" w:rsidRDefault="00512BDE">
      <w:pPr>
        <w:pStyle w:val="TOC1"/>
        <w:tabs>
          <w:tab w:val="left" w:pos="440"/>
          <w:tab w:val="right" w:leader="dot" w:pos="9016"/>
        </w:tabs>
        <w:rPr>
          <w:rFonts w:ascii="Calibri" w:hAnsi="Calibri" w:cs="Calibri"/>
          <w:b/>
          <w:bCs/>
          <w:noProof/>
          <w:lang w:val="en-US"/>
        </w:rPr>
      </w:pPr>
      <w:hyperlink w:anchor="_Toc394052279" w:history="1">
        <w:r w:rsidR="00132E7D" w:rsidRPr="002747E6">
          <w:rPr>
            <w:rStyle w:val="Hyperlink"/>
            <w:rFonts w:ascii="Calibri" w:hAnsi="Calibri" w:cs="Calibri"/>
            <w:b/>
            <w:bCs/>
            <w:noProof/>
            <w:lang w:val="es-AR"/>
          </w:rPr>
          <w:t>5.</w:t>
        </w:r>
        <w:r w:rsidR="00132E7D" w:rsidRPr="002747E6">
          <w:rPr>
            <w:rFonts w:ascii="Calibri" w:hAnsi="Calibri" w:cs="Calibri"/>
            <w:b/>
            <w:bCs/>
            <w:noProof/>
            <w:lang w:val="en-US"/>
          </w:rPr>
          <w:tab/>
        </w:r>
        <w:r w:rsidR="00132E7D" w:rsidRPr="002747E6">
          <w:rPr>
            <w:rStyle w:val="Hyperlink"/>
            <w:rFonts w:ascii="Calibri" w:hAnsi="Calibri" w:cs="Calibri"/>
            <w:b/>
            <w:bCs/>
            <w:noProof/>
            <w:lang w:val="hr-HR"/>
          </w:rPr>
          <w:t>Financijski instrumenti za promicanje ulaganja u energetsku učinkovitost i obnovljive izvore energije</w:t>
        </w:r>
        <w:r w:rsidR="00132E7D" w:rsidRPr="002747E6">
          <w:rPr>
            <w:rFonts w:ascii="Calibri" w:hAnsi="Calibri" w:cs="Calibri"/>
            <w:b/>
            <w:bCs/>
            <w:noProof/>
            <w:webHidden/>
          </w:rPr>
          <w:tab/>
        </w:r>
        <w:r w:rsidR="00132E7D" w:rsidRPr="002747E6">
          <w:rPr>
            <w:rFonts w:ascii="Calibri" w:hAnsi="Calibri" w:cs="Calibri"/>
            <w:b/>
            <w:bCs/>
            <w:noProof/>
            <w:webHidden/>
          </w:rPr>
          <w:fldChar w:fldCharType="begin"/>
        </w:r>
        <w:r w:rsidR="00132E7D" w:rsidRPr="002747E6">
          <w:rPr>
            <w:rFonts w:ascii="Calibri" w:hAnsi="Calibri" w:cs="Calibri"/>
            <w:b/>
            <w:bCs/>
            <w:noProof/>
            <w:webHidden/>
          </w:rPr>
          <w:instrText xml:space="preserve"> PAGEREF _Toc394052279 \h </w:instrText>
        </w:r>
        <w:r w:rsidR="00132E7D" w:rsidRPr="002747E6">
          <w:rPr>
            <w:rFonts w:ascii="Calibri" w:hAnsi="Calibri" w:cs="Calibri"/>
            <w:b/>
            <w:bCs/>
            <w:noProof/>
            <w:webHidden/>
          </w:rPr>
        </w:r>
        <w:r w:rsidR="00132E7D" w:rsidRPr="002747E6">
          <w:rPr>
            <w:rFonts w:ascii="Calibri" w:hAnsi="Calibri" w:cs="Calibri"/>
            <w:b/>
            <w:bCs/>
            <w:noProof/>
            <w:webHidden/>
          </w:rPr>
          <w:fldChar w:fldCharType="separate"/>
        </w:r>
        <w:r w:rsidR="00CF2B98">
          <w:rPr>
            <w:rFonts w:ascii="Calibri" w:hAnsi="Calibri" w:cs="Calibri"/>
            <w:b/>
            <w:bCs/>
            <w:noProof/>
            <w:webHidden/>
          </w:rPr>
          <w:t>20</w:t>
        </w:r>
        <w:r w:rsidR="00132E7D" w:rsidRPr="002747E6">
          <w:rPr>
            <w:rFonts w:ascii="Calibri" w:hAnsi="Calibri" w:cs="Calibri"/>
            <w:b/>
            <w:bCs/>
            <w:noProof/>
            <w:webHidden/>
          </w:rPr>
          <w:fldChar w:fldCharType="end"/>
        </w:r>
      </w:hyperlink>
    </w:p>
    <w:p w14:paraId="712513DC" w14:textId="30602107" w:rsidR="00132E7D" w:rsidRPr="002747E6" w:rsidRDefault="00512BDE">
      <w:pPr>
        <w:pStyle w:val="TOC2"/>
        <w:tabs>
          <w:tab w:val="right" w:leader="dot" w:pos="9016"/>
        </w:tabs>
        <w:rPr>
          <w:rFonts w:ascii="Calibri" w:hAnsi="Calibri" w:cs="Calibri"/>
          <w:b/>
          <w:bCs/>
          <w:noProof/>
          <w:lang w:val="en-US"/>
        </w:rPr>
      </w:pPr>
      <w:hyperlink w:anchor="_Toc394052280" w:history="1">
        <w:r w:rsidR="00132E7D" w:rsidRPr="002747E6">
          <w:rPr>
            <w:rStyle w:val="Hyperlink"/>
            <w:rFonts w:ascii="Calibri" w:hAnsi="Calibri" w:cs="Calibri"/>
            <w:b/>
            <w:bCs/>
            <w:noProof/>
            <w:lang w:val="hr-HR"/>
          </w:rPr>
          <w:t>5.1 Investiranje u energetsku učinkovitost zgrada u javnom sektoru</w:t>
        </w:r>
        <w:r w:rsidR="00132E7D" w:rsidRPr="002747E6">
          <w:rPr>
            <w:rFonts w:ascii="Calibri" w:hAnsi="Calibri" w:cs="Calibri"/>
            <w:b/>
            <w:bCs/>
            <w:noProof/>
            <w:webHidden/>
          </w:rPr>
          <w:tab/>
        </w:r>
        <w:r w:rsidR="00132E7D" w:rsidRPr="002747E6">
          <w:rPr>
            <w:rFonts w:ascii="Calibri" w:hAnsi="Calibri" w:cs="Calibri"/>
            <w:b/>
            <w:bCs/>
            <w:noProof/>
            <w:webHidden/>
          </w:rPr>
          <w:fldChar w:fldCharType="begin"/>
        </w:r>
        <w:r w:rsidR="00132E7D" w:rsidRPr="002747E6">
          <w:rPr>
            <w:rFonts w:ascii="Calibri" w:hAnsi="Calibri" w:cs="Calibri"/>
            <w:b/>
            <w:bCs/>
            <w:noProof/>
            <w:webHidden/>
          </w:rPr>
          <w:instrText xml:space="preserve"> PAGEREF _Toc394052280 \h </w:instrText>
        </w:r>
        <w:r w:rsidR="00132E7D" w:rsidRPr="002747E6">
          <w:rPr>
            <w:rFonts w:ascii="Calibri" w:hAnsi="Calibri" w:cs="Calibri"/>
            <w:b/>
            <w:bCs/>
            <w:noProof/>
            <w:webHidden/>
          </w:rPr>
        </w:r>
        <w:r w:rsidR="00132E7D" w:rsidRPr="002747E6">
          <w:rPr>
            <w:rFonts w:ascii="Calibri" w:hAnsi="Calibri" w:cs="Calibri"/>
            <w:b/>
            <w:bCs/>
            <w:noProof/>
            <w:webHidden/>
          </w:rPr>
          <w:fldChar w:fldCharType="separate"/>
        </w:r>
        <w:r w:rsidR="00CF2B98">
          <w:rPr>
            <w:rFonts w:ascii="Calibri" w:hAnsi="Calibri" w:cs="Calibri"/>
            <w:b/>
            <w:bCs/>
            <w:noProof/>
            <w:webHidden/>
          </w:rPr>
          <w:t>20</w:t>
        </w:r>
        <w:r w:rsidR="00132E7D" w:rsidRPr="002747E6">
          <w:rPr>
            <w:rFonts w:ascii="Calibri" w:hAnsi="Calibri" w:cs="Calibri"/>
            <w:b/>
            <w:bCs/>
            <w:noProof/>
            <w:webHidden/>
          </w:rPr>
          <w:fldChar w:fldCharType="end"/>
        </w:r>
      </w:hyperlink>
    </w:p>
    <w:p w14:paraId="3677D9E1" w14:textId="72DFDF09" w:rsidR="00132E7D" w:rsidRPr="002747E6" w:rsidRDefault="00512BDE">
      <w:pPr>
        <w:pStyle w:val="TOC2"/>
        <w:tabs>
          <w:tab w:val="right" w:leader="dot" w:pos="9016"/>
        </w:tabs>
        <w:rPr>
          <w:rFonts w:ascii="Calibri" w:hAnsi="Calibri" w:cs="Calibri"/>
          <w:b/>
          <w:bCs/>
          <w:noProof/>
          <w:lang w:val="en-US"/>
        </w:rPr>
      </w:pPr>
      <w:hyperlink w:anchor="_Toc394052281" w:history="1">
        <w:r w:rsidR="00132E7D" w:rsidRPr="002747E6">
          <w:rPr>
            <w:rStyle w:val="Hyperlink"/>
            <w:rFonts w:ascii="Calibri" w:hAnsi="Calibri" w:cs="Calibri"/>
            <w:b/>
            <w:bCs/>
            <w:noProof/>
            <w:lang w:val="hr-HR"/>
          </w:rPr>
          <w:t>5.2 Potpora poboljšanju energetske učinkovitosti stambenih zgrada</w:t>
        </w:r>
        <w:r w:rsidR="00132E7D" w:rsidRPr="002747E6">
          <w:rPr>
            <w:rFonts w:ascii="Calibri" w:hAnsi="Calibri" w:cs="Calibri"/>
            <w:b/>
            <w:bCs/>
            <w:noProof/>
            <w:webHidden/>
          </w:rPr>
          <w:tab/>
        </w:r>
        <w:r w:rsidR="00132E7D" w:rsidRPr="002747E6">
          <w:rPr>
            <w:rFonts w:ascii="Calibri" w:hAnsi="Calibri" w:cs="Calibri"/>
            <w:b/>
            <w:bCs/>
            <w:noProof/>
            <w:webHidden/>
          </w:rPr>
          <w:fldChar w:fldCharType="begin"/>
        </w:r>
        <w:r w:rsidR="00132E7D" w:rsidRPr="002747E6">
          <w:rPr>
            <w:rFonts w:ascii="Calibri" w:hAnsi="Calibri" w:cs="Calibri"/>
            <w:b/>
            <w:bCs/>
            <w:noProof/>
            <w:webHidden/>
          </w:rPr>
          <w:instrText xml:space="preserve"> PAGEREF _Toc394052281 \h </w:instrText>
        </w:r>
        <w:r w:rsidR="00132E7D" w:rsidRPr="002747E6">
          <w:rPr>
            <w:rFonts w:ascii="Calibri" w:hAnsi="Calibri" w:cs="Calibri"/>
            <w:b/>
            <w:bCs/>
            <w:noProof/>
            <w:webHidden/>
          </w:rPr>
        </w:r>
        <w:r w:rsidR="00132E7D" w:rsidRPr="002747E6">
          <w:rPr>
            <w:rFonts w:ascii="Calibri" w:hAnsi="Calibri" w:cs="Calibri"/>
            <w:b/>
            <w:bCs/>
            <w:noProof/>
            <w:webHidden/>
          </w:rPr>
          <w:fldChar w:fldCharType="separate"/>
        </w:r>
        <w:r w:rsidR="00CF2B98">
          <w:rPr>
            <w:rFonts w:ascii="Calibri" w:hAnsi="Calibri" w:cs="Calibri"/>
            <w:b/>
            <w:bCs/>
            <w:noProof/>
            <w:webHidden/>
          </w:rPr>
          <w:t>22</w:t>
        </w:r>
        <w:r w:rsidR="00132E7D" w:rsidRPr="002747E6">
          <w:rPr>
            <w:rFonts w:ascii="Calibri" w:hAnsi="Calibri" w:cs="Calibri"/>
            <w:b/>
            <w:bCs/>
            <w:noProof/>
            <w:webHidden/>
          </w:rPr>
          <w:fldChar w:fldCharType="end"/>
        </w:r>
      </w:hyperlink>
    </w:p>
    <w:p w14:paraId="2EEE696D" w14:textId="117C3FC7" w:rsidR="00132E7D" w:rsidRPr="002747E6" w:rsidRDefault="00512BDE">
      <w:pPr>
        <w:pStyle w:val="TOC1"/>
        <w:tabs>
          <w:tab w:val="left" w:pos="440"/>
          <w:tab w:val="right" w:leader="dot" w:pos="9016"/>
        </w:tabs>
        <w:rPr>
          <w:rFonts w:ascii="Calibri" w:hAnsi="Calibri" w:cs="Calibri"/>
          <w:b/>
          <w:bCs/>
          <w:noProof/>
          <w:lang w:val="en-US"/>
        </w:rPr>
      </w:pPr>
      <w:hyperlink w:anchor="_Toc394052282" w:history="1">
        <w:r w:rsidR="00132E7D" w:rsidRPr="002747E6">
          <w:rPr>
            <w:rStyle w:val="Hyperlink"/>
            <w:rFonts w:ascii="Calibri" w:hAnsi="Calibri" w:cs="Calibri"/>
            <w:b/>
            <w:bCs/>
            <w:noProof/>
          </w:rPr>
          <w:t>6.</w:t>
        </w:r>
        <w:r w:rsidR="00132E7D" w:rsidRPr="002747E6">
          <w:rPr>
            <w:rFonts w:ascii="Calibri" w:hAnsi="Calibri" w:cs="Calibri"/>
            <w:b/>
            <w:bCs/>
            <w:noProof/>
            <w:lang w:val="en-US"/>
          </w:rPr>
          <w:tab/>
        </w:r>
        <w:r w:rsidR="00132E7D" w:rsidRPr="002747E6">
          <w:rPr>
            <w:rStyle w:val="Hyperlink"/>
            <w:rFonts w:ascii="Calibri" w:hAnsi="Calibri" w:cs="Calibri"/>
            <w:b/>
            <w:bCs/>
            <w:noProof/>
            <w:lang w:val="hr-HR"/>
          </w:rPr>
          <w:t>Zaključci i preporuke</w:t>
        </w:r>
        <w:r w:rsidR="00132E7D" w:rsidRPr="002747E6">
          <w:rPr>
            <w:rFonts w:ascii="Calibri" w:hAnsi="Calibri" w:cs="Calibri"/>
            <w:b/>
            <w:bCs/>
            <w:noProof/>
            <w:webHidden/>
          </w:rPr>
          <w:tab/>
        </w:r>
        <w:r w:rsidR="00132E7D" w:rsidRPr="002747E6">
          <w:rPr>
            <w:rFonts w:ascii="Calibri" w:hAnsi="Calibri" w:cs="Calibri"/>
            <w:b/>
            <w:bCs/>
            <w:noProof/>
            <w:webHidden/>
          </w:rPr>
          <w:fldChar w:fldCharType="begin"/>
        </w:r>
        <w:r w:rsidR="00132E7D" w:rsidRPr="002747E6">
          <w:rPr>
            <w:rFonts w:ascii="Calibri" w:hAnsi="Calibri" w:cs="Calibri"/>
            <w:b/>
            <w:bCs/>
            <w:noProof/>
            <w:webHidden/>
          </w:rPr>
          <w:instrText xml:space="preserve"> PAGEREF _Toc394052282 \h </w:instrText>
        </w:r>
        <w:r w:rsidR="00132E7D" w:rsidRPr="002747E6">
          <w:rPr>
            <w:rFonts w:ascii="Calibri" w:hAnsi="Calibri" w:cs="Calibri"/>
            <w:b/>
            <w:bCs/>
            <w:noProof/>
            <w:webHidden/>
          </w:rPr>
        </w:r>
        <w:r w:rsidR="00132E7D" w:rsidRPr="002747E6">
          <w:rPr>
            <w:rFonts w:ascii="Calibri" w:hAnsi="Calibri" w:cs="Calibri"/>
            <w:b/>
            <w:bCs/>
            <w:noProof/>
            <w:webHidden/>
          </w:rPr>
          <w:fldChar w:fldCharType="separate"/>
        </w:r>
        <w:r w:rsidR="00CF2B98">
          <w:rPr>
            <w:rFonts w:ascii="Calibri" w:hAnsi="Calibri" w:cs="Calibri"/>
            <w:b/>
            <w:bCs/>
            <w:noProof/>
            <w:webHidden/>
          </w:rPr>
          <w:t>26</w:t>
        </w:r>
        <w:r w:rsidR="00132E7D" w:rsidRPr="002747E6">
          <w:rPr>
            <w:rFonts w:ascii="Calibri" w:hAnsi="Calibri" w:cs="Calibri"/>
            <w:b/>
            <w:bCs/>
            <w:noProof/>
            <w:webHidden/>
          </w:rPr>
          <w:fldChar w:fldCharType="end"/>
        </w:r>
      </w:hyperlink>
    </w:p>
    <w:p w14:paraId="0B4F4887" w14:textId="66A77129" w:rsidR="00132E7D" w:rsidRPr="002747E6" w:rsidRDefault="00512BDE">
      <w:pPr>
        <w:pStyle w:val="TOC2"/>
        <w:tabs>
          <w:tab w:val="left" w:pos="880"/>
          <w:tab w:val="right" w:leader="dot" w:pos="9016"/>
        </w:tabs>
        <w:rPr>
          <w:rFonts w:ascii="Calibri" w:hAnsi="Calibri" w:cs="Calibri"/>
          <w:b/>
          <w:bCs/>
          <w:noProof/>
          <w:lang w:val="en-US"/>
        </w:rPr>
      </w:pPr>
      <w:hyperlink w:anchor="_Toc394052283" w:history="1">
        <w:r w:rsidR="00132E7D" w:rsidRPr="002747E6">
          <w:rPr>
            <w:rStyle w:val="Hyperlink"/>
            <w:rFonts w:ascii="Calibri" w:hAnsi="Calibri" w:cs="Calibri"/>
            <w:b/>
            <w:bCs/>
            <w:noProof/>
            <w:lang w:val="hr-HR"/>
          </w:rPr>
          <w:t>6.1</w:t>
        </w:r>
        <w:r w:rsidR="00132E7D" w:rsidRPr="002747E6">
          <w:rPr>
            <w:rFonts w:ascii="Calibri" w:hAnsi="Calibri" w:cs="Calibri"/>
            <w:b/>
            <w:bCs/>
            <w:noProof/>
            <w:lang w:val="en-US"/>
          </w:rPr>
          <w:tab/>
        </w:r>
        <w:r w:rsidR="00132E7D" w:rsidRPr="002747E6">
          <w:rPr>
            <w:rStyle w:val="Hyperlink"/>
            <w:rFonts w:ascii="Calibri" w:hAnsi="Calibri" w:cs="Calibri"/>
            <w:b/>
            <w:bCs/>
            <w:noProof/>
            <w:lang w:val="hr-HR"/>
          </w:rPr>
          <w:t>Zaključci</w:t>
        </w:r>
        <w:r w:rsidR="00132E7D" w:rsidRPr="002747E6">
          <w:rPr>
            <w:rFonts w:ascii="Calibri" w:hAnsi="Calibri" w:cs="Calibri"/>
            <w:b/>
            <w:bCs/>
            <w:noProof/>
            <w:webHidden/>
          </w:rPr>
          <w:tab/>
        </w:r>
        <w:r w:rsidR="00132E7D" w:rsidRPr="002747E6">
          <w:rPr>
            <w:rFonts w:ascii="Calibri" w:hAnsi="Calibri" w:cs="Calibri"/>
            <w:b/>
            <w:bCs/>
            <w:noProof/>
            <w:webHidden/>
          </w:rPr>
          <w:fldChar w:fldCharType="begin"/>
        </w:r>
        <w:r w:rsidR="00132E7D" w:rsidRPr="002747E6">
          <w:rPr>
            <w:rFonts w:ascii="Calibri" w:hAnsi="Calibri" w:cs="Calibri"/>
            <w:b/>
            <w:bCs/>
            <w:noProof/>
            <w:webHidden/>
          </w:rPr>
          <w:instrText xml:space="preserve"> PAGEREF _Toc394052283 \h </w:instrText>
        </w:r>
        <w:r w:rsidR="00132E7D" w:rsidRPr="002747E6">
          <w:rPr>
            <w:rFonts w:ascii="Calibri" w:hAnsi="Calibri" w:cs="Calibri"/>
            <w:b/>
            <w:bCs/>
            <w:noProof/>
            <w:webHidden/>
          </w:rPr>
        </w:r>
        <w:r w:rsidR="00132E7D" w:rsidRPr="002747E6">
          <w:rPr>
            <w:rFonts w:ascii="Calibri" w:hAnsi="Calibri" w:cs="Calibri"/>
            <w:b/>
            <w:bCs/>
            <w:noProof/>
            <w:webHidden/>
          </w:rPr>
          <w:fldChar w:fldCharType="separate"/>
        </w:r>
        <w:r w:rsidR="00CF2B98">
          <w:rPr>
            <w:rFonts w:ascii="Calibri" w:hAnsi="Calibri" w:cs="Calibri"/>
            <w:b/>
            <w:bCs/>
            <w:noProof/>
            <w:webHidden/>
          </w:rPr>
          <w:t>26</w:t>
        </w:r>
        <w:r w:rsidR="00132E7D" w:rsidRPr="002747E6">
          <w:rPr>
            <w:rFonts w:ascii="Calibri" w:hAnsi="Calibri" w:cs="Calibri"/>
            <w:b/>
            <w:bCs/>
            <w:noProof/>
            <w:webHidden/>
          </w:rPr>
          <w:fldChar w:fldCharType="end"/>
        </w:r>
      </w:hyperlink>
    </w:p>
    <w:p w14:paraId="7B9E12EB" w14:textId="40AD10C1" w:rsidR="00132E7D" w:rsidRPr="002747E6" w:rsidRDefault="00512BDE">
      <w:pPr>
        <w:pStyle w:val="TOC2"/>
        <w:tabs>
          <w:tab w:val="left" w:pos="880"/>
          <w:tab w:val="right" w:leader="dot" w:pos="9016"/>
        </w:tabs>
        <w:rPr>
          <w:rFonts w:ascii="Calibri" w:hAnsi="Calibri" w:cs="Calibri"/>
          <w:b/>
          <w:bCs/>
          <w:noProof/>
          <w:lang w:val="en-US"/>
        </w:rPr>
      </w:pPr>
      <w:hyperlink w:anchor="_Toc394052284" w:history="1">
        <w:r w:rsidR="00132E7D" w:rsidRPr="002747E6">
          <w:rPr>
            <w:rStyle w:val="Hyperlink"/>
            <w:rFonts w:ascii="Calibri" w:hAnsi="Calibri" w:cs="Calibri"/>
            <w:b/>
            <w:bCs/>
            <w:noProof/>
            <w:lang w:val="hr-HR"/>
          </w:rPr>
          <w:t>6.2</w:t>
        </w:r>
        <w:r w:rsidR="00132E7D" w:rsidRPr="002747E6">
          <w:rPr>
            <w:rFonts w:ascii="Calibri" w:hAnsi="Calibri" w:cs="Calibri"/>
            <w:b/>
            <w:bCs/>
            <w:noProof/>
            <w:lang w:val="en-US"/>
          </w:rPr>
          <w:tab/>
        </w:r>
        <w:r w:rsidR="00132E7D" w:rsidRPr="002747E6">
          <w:rPr>
            <w:rStyle w:val="Hyperlink"/>
            <w:rFonts w:ascii="Calibri" w:hAnsi="Calibri" w:cs="Calibri"/>
            <w:b/>
            <w:bCs/>
            <w:noProof/>
            <w:lang w:val="hr-HR"/>
          </w:rPr>
          <w:t>Preporuke</w:t>
        </w:r>
        <w:r w:rsidR="00132E7D" w:rsidRPr="002747E6">
          <w:rPr>
            <w:rFonts w:ascii="Calibri" w:hAnsi="Calibri" w:cs="Calibri"/>
            <w:b/>
            <w:bCs/>
            <w:noProof/>
            <w:webHidden/>
          </w:rPr>
          <w:tab/>
        </w:r>
        <w:r w:rsidR="00132E7D" w:rsidRPr="002747E6">
          <w:rPr>
            <w:rFonts w:ascii="Calibri" w:hAnsi="Calibri" w:cs="Calibri"/>
            <w:b/>
            <w:bCs/>
            <w:noProof/>
            <w:webHidden/>
          </w:rPr>
          <w:fldChar w:fldCharType="begin"/>
        </w:r>
        <w:r w:rsidR="00132E7D" w:rsidRPr="002747E6">
          <w:rPr>
            <w:rFonts w:ascii="Calibri" w:hAnsi="Calibri" w:cs="Calibri"/>
            <w:b/>
            <w:bCs/>
            <w:noProof/>
            <w:webHidden/>
          </w:rPr>
          <w:instrText xml:space="preserve"> PAGEREF _Toc394052284 \h </w:instrText>
        </w:r>
        <w:r w:rsidR="00132E7D" w:rsidRPr="002747E6">
          <w:rPr>
            <w:rFonts w:ascii="Calibri" w:hAnsi="Calibri" w:cs="Calibri"/>
            <w:b/>
            <w:bCs/>
            <w:noProof/>
            <w:webHidden/>
          </w:rPr>
        </w:r>
        <w:r w:rsidR="00132E7D" w:rsidRPr="002747E6">
          <w:rPr>
            <w:rFonts w:ascii="Calibri" w:hAnsi="Calibri" w:cs="Calibri"/>
            <w:b/>
            <w:bCs/>
            <w:noProof/>
            <w:webHidden/>
          </w:rPr>
          <w:fldChar w:fldCharType="separate"/>
        </w:r>
        <w:r w:rsidR="00CF2B98">
          <w:rPr>
            <w:rFonts w:ascii="Calibri" w:hAnsi="Calibri" w:cs="Calibri"/>
            <w:b/>
            <w:bCs/>
            <w:noProof/>
            <w:webHidden/>
          </w:rPr>
          <w:t>29</w:t>
        </w:r>
        <w:r w:rsidR="00132E7D" w:rsidRPr="002747E6">
          <w:rPr>
            <w:rFonts w:ascii="Calibri" w:hAnsi="Calibri" w:cs="Calibri"/>
            <w:b/>
            <w:bCs/>
            <w:noProof/>
            <w:webHidden/>
          </w:rPr>
          <w:fldChar w:fldCharType="end"/>
        </w:r>
      </w:hyperlink>
    </w:p>
    <w:p w14:paraId="7A48C431" w14:textId="77777777" w:rsidR="00132E7D" w:rsidRPr="00EA7FD9" w:rsidRDefault="00132E7D" w:rsidP="00BE4B35">
      <w:pPr>
        <w:spacing w:before="40" w:after="40"/>
        <w:jc w:val="center"/>
        <w:rPr>
          <w:rFonts w:ascii="Calibri" w:hAnsi="Calibri" w:cs="Calibri"/>
          <w:b/>
          <w:bCs/>
          <w:sz w:val="28"/>
          <w:szCs w:val="28"/>
          <w:lang w:val="hr-HR"/>
        </w:rPr>
      </w:pPr>
      <w:r w:rsidRPr="002747E6">
        <w:rPr>
          <w:rFonts w:ascii="Calibri" w:hAnsi="Calibri" w:cs="Calibri"/>
          <w:b/>
          <w:bCs/>
          <w:lang w:val="hr-HR"/>
        </w:rPr>
        <w:fldChar w:fldCharType="end"/>
      </w:r>
    </w:p>
    <w:p w14:paraId="549B91B2" w14:textId="77777777" w:rsidR="00132E7D" w:rsidRPr="00EA7FD9" w:rsidRDefault="00132E7D">
      <w:pPr>
        <w:rPr>
          <w:rFonts w:ascii="Calibri" w:hAnsi="Calibri" w:cs="Calibri"/>
          <w:b/>
          <w:bCs/>
          <w:sz w:val="28"/>
          <w:szCs w:val="28"/>
          <w:lang w:val="hr-HR"/>
        </w:rPr>
      </w:pPr>
      <w:r w:rsidRPr="00EA7FD9">
        <w:rPr>
          <w:lang w:val="hr-HR"/>
        </w:rPr>
        <w:br w:type="page"/>
      </w:r>
    </w:p>
    <w:p w14:paraId="6F314A47" w14:textId="77777777" w:rsidR="00132E7D" w:rsidRPr="00EA7FD9" w:rsidRDefault="00132E7D" w:rsidP="00F030D3">
      <w:pPr>
        <w:pStyle w:val="14-Heading1"/>
        <w:spacing w:before="40" w:after="40" w:line="300" w:lineRule="auto"/>
        <w:rPr>
          <w:lang w:val="hr-HR"/>
        </w:rPr>
      </w:pPr>
      <w:bookmarkStart w:id="1" w:name="_Toc394052268"/>
      <w:r w:rsidRPr="00EA7FD9">
        <w:rPr>
          <w:lang w:val="hr-HR"/>
        </w:rPr>
        <w:lastRenderedPageBreak/>
        <w:t>1.</w:t>
      </w:r>
      <w:r w:rsidRPr="00EA7FD9">
        <w:rPr>
          <w:lang w:val="hr-HR"/>
        </w:rPr>
        <w:tab/>
        <w:t>Uvod</w:t>
      </w:r>
      <w:bookmarkEnd w:id="1"/>
    </w:p>
    <w:p w14:paraId="50FB8638" w14:textId="77777777" w:rsidR="00132E7D" w:rsidRPr="00EA7FD9" w:rsidRDefault="00132E7D" w:rsidP="00F030D3">
      <w:pPr>
        <w:spacing w:before="40" w:after="40" w:line="300" w:lineRule="auto"/>
        <w:rPr>
          <w:rFonts w:ascii="Calibri" w:hAnsi="Calibri" w:cs="Calibri"/>
          <w:lang w:val="hr-HR"/>
        </w:rPr>
      </w:pPr>
      <w:r w:rsidRPr="00EA7FD9">
        <w:rPr>
          <w:rFonts w:ascii="Calibri" w:hAnsi="Calibri" w:cs="Calibri"/>
          <w:lang w:val="hr-HR"/>
        </w:rPr>
        <w:t xml:space="preserve">Predmetnu preliminarnu procjenu potreba proveli su </w:t>
      </w:r>
      <w:r w:rsidRPr="0030601D">
        <w:rPr>
          <w:rFonts w:ascii="Calibri" w:hAnsi="Calibri" w:cs="Calibri"/>
          <w:lang w:val="hr-HR"/>
        </w:rPr>
        <w:t xml:space="preserve">stručnjaci poduzeća Transtec Project Management i HCL Consultants Ltd za Ministarstvo regionalnoga razvoja i fondova Europske unije (MRRFEU), uz financijsku potporu Europske unije u okviru projekta </w:t>
      </w:r>
      <w:r w:rsidRPr="0030601D">
        <w:rPr>
          <w:rFonts w:ascii="Calibri" w:hAnsi="Calibri" w:cs="Calibri"/>
          <w:b/>
          <w:bCs/>
          <w:lang w:val="hr-HR"/>
        </w:rPr>
        <w:t>Potpora jačanju regionalne i teritorijalne dimenzije u programskim dokumentima za EU fondove 2014 - 2020.</w:t>
      </w:r>
      <w:r>
        <w:rPr>
          <w:rFonts w:ascii="Calibri" w:hAnsi="Calibri" w:cs="Calibri"/>
          <w:b/>
          <w:bCs/>
          <w:lang w:val="hr-HR"/>
        </w:rPr>
        <w:t xml:space="preserve"> </w:t>
      </w:r>
      <w:r w:rsidRPr="00EA7FD9">
        <w:rPr>
          <w:rFonts w:ascii="Calibri" w:hAnsi="Calibri" w:cs="Calibri"/>
          <w:lang w:val="hr-HR"/>
        </w:rPr>
        <w:t xml:space="preserve">Procjena je </w:t>
      </w:r>
      <w:r>
        <w:rPr>
          <w:rFonts w:ascii="Calibri" w:hAnsi="Calibri" w:cs="Calibri"/>
          <w:lang w:val="hr-HR"/>
        </w:rPr>
        <w:t>jedan od rezultata</w:t>
      </w:r>
      <w:r w:rsidRPr="00EA7FD9">
        <w:rPr>
          <w:rFonts w:ascii="Calibri" w:hAnsi="Calibri" w:cs="Calibri"/>
          <w:lang w:val="hr-HR"/>
        </w:rPr>
        <w:t xml:space="preserve"> projekta u cilju razmatranja opcija za</w:t>
      </w:r>
      <w:r>
        <w:rPr>
          <w:rFonts w:ascii="Calibri" w:hAnsi="Calibri" w:cs="Calibri"/>
          <w:lang w:val="hr-HR"/>
        </w:rPr>
        <w:t xml:space="preserve"> uključivanje</w:t>
      </w:r>
      <w:r w:rsidRPr="00EA7FD9">
        <w:rPr>
          <w:rFonts w:ascii="Calibri" w:hAnsi="Calibri" w:cs="Calibri"/>
          <w:lang w:val="hr-HR"/>
        </w:rPr>
        <w:t xml:space="preserve"> teritorijalne dimenzije u hrvatske programske dokumente za Europske strukturne i investicijske fondove (ESI) za razdoblje 2014.-2020. </w:t>
      </w:r>
    </w:p>
    <w:p w14:paraId="5C58F912" w14:textId="77777777" w:rsidR="00132E7D" w:rsidRPr="00EA7FD9" w:rsidRDefault="00132E7D" w:rsidP="00F030D3">
      <w:pPr>
        <w:spacing w:before="40" w:after="40" w:line="300" w:lineRule="auto"/>
        <w:rPr>
          <w:rFonts w:ascii="Calibri" w:hAnsi="Calibri" w:cs="Calibri"/>
          <w:lang w:val="hr-HR"/>
        </w:rPr>
      </w:pPr>
      <w:r w:rsidRPr="00EA7FD9">
        <w:rPr>
          <w:rFonts w:ascii="Calibri" w:hAnsi="Calibri" w:cs="Calibri"/>
          <w:lang w:val="hr-HR"/>
        </w:rPr>
        <w:t xml:space="preserve">Ovaj dokument </w:t>
      </w:r>
      <w:r>
        <w:rPr>
          <w:rFonts w:ascii="Calibri" w:hAnsi="Calibri" w:cs="Calibri"/>
          <w:lang w:val="hr-HR"/>
        </w:rPr>
        <w:t>donosi</w:t>
      </w:r>
      <w:r w:rsidRPr="00EA7FD9">
        <w:rPr>
          <w:rFonts w:ascii="Calibri" w:hAnsi="Calibri" w:cs="Calibri"/>
          <w:lang w:val="hr-HR"/>
        </w:rPr>
        <w:t xml:space="preserve"> </w:t>
      </w:r>
      <w:r>
        <w:rPr>
          <w:rFonts w:ascii="Calibri" w:hAnsi="Calibri" w:cs="Calibri"/>
          <w:lang w:val="hr-HR"/>
        </w:rPr>
        <w:t xml:space="preserve">preliminarnu </w:t>
      </w:r>
      <w:r w:rsidRPr="00EA7FD9">
        <w:rPr>
          <w:rFonts w:ascii="Calibri" w:hAnsi="Calibri" w:cs="Calibri"/>
          <w:lang w:val="hr-HR"/>
        </w:rPr>
        <w:t>procjenu</w:t>
      </w:r>
      <w:r>
        <w:rPr>
          <w:rFonts w:ascii="Calibri" w:hAnsi="Calibri" w:cs="Calibri"/>
          <w:lang w:val="hr-HR"/>
        </w:rPr>
        <w:t xml:space="preserve"> </w:t>
      </w:r>
      <w:r w:rsidRPr="00EA7FD9">
        <w:rPr>
          <w:rFonts w:ascii="Calibri" w:hAnsi="Calibri" w:cs="Calibri"/>
          <w:lang w:val="hr-HR"/>
        </w:rPr>
        <w:t>potreba za korištenje</w:t>
      </w:r>
      <w:r>
        <w:rPr>
          <w:rFonts w:ascii="Calibri" w:hAnsi="Calibri" w:cs="Calibri"/>
          <w:lang w:val="hr-HR"/>
        </w:rPr>
        <w:t>m</w:t>
      </w:r>
      <w:r w:rsidRPr="00EA7FD9">
        <w:rPr>
          <w:rFonts w:ascii="Calibri" w:hAnsi="Calibri" w:cs="Calibri"/>
          <w:lang w:val="hr-HR"/>
        </w:rPr>
        <w:t xml:space="preserve"> financijskog instrumenta JESSICA (</w:t>
      </w:r>
      <w:r w:rsidRPr="00EA7FD9">
        <w:rPr>
          <w:rFonts w:ascii="Calibri" w:hAnsi="Calibri" w:cs="Calibri"/>
          <w:i/>
          <w:iCs/>
          <w:lang w:val="hr-HR"/>
        </w:rPr>
        <w:t>Joint European Support for Sustainable Investment in City Areas</w:t>
      </w:r>
      <w:r>
        <w:rPr>
          <w:rFonts w:ascii="Calibri" w:hAnsi="Calibri" w:cs="Calibri"/>
          <w:i/>
          <w:iCs/>
          <w:lang w:val="hr-HR"/>
        </w:rPr>
        <w:t xml:space="preserve"> – Zajednička europska potpora održivom razvoju u gradska područja</w:t>
      </w:r>
      <w:r w:rsidRPr="00EA7FD9">
        <w:rPr>
          <w:rFonts w:ascii="Calibri" w:hAnsi="Calibri" w:cs="Calibri"/>
          <w:lang w:val="hr-HR"/>
        </w:rPr>
        <w:t xml:space="preserve">) u </w:t>
      </w:r>
      <w:r>
        <w:rPr>
          <w:rFonts w:ascii="Calibri" w:hAnsi="Calibri" w:cs="Calibri"/>
          <w:lang w:val="hr-HR"/>
        </w:rPr>
        <w:t xml:space="preserve">Republici </w:t>
      </w:r>
      <w:r w:rsidRPr="00EA7FD9">
        <w:rPr>
          <w:rFonts w:ascii="Calibri" w:hAnsi="Calibri" w:cs="Calibri"/>
          <w:lang w:val="hr-HR"/>
        </w:rPr>
        <w:t xml:space="preserve">Hrvatskoj u svrhu potpore ulaganjima u ‘održivi urbani razvoj’ (OUR).  </w:t>
      </w:r>
    </w:p>
    <w:p w14:paraId="5C580280" w14:textId="77777777" w:rsidR="00132E7D" w:rsidRPr="00EA7FD9" w:rsidRDefault="00132E7D" w:rsidP="00F030D3">
      <w:pPr>
        <w:spacing w:before="40" w:after="40" w:line="300" w:lineRule="auto"/>
        <w:rPr>
          <w:rFonts w:ascii="Calibri" w:hAnsi="Calibri" w:cs="Calibri"/>
          <w:lang w:val="hr-HR"/>
        </w:rPr>
      </w:pPr>
      <w:r>
        <w:rPr>
          <w:rFonts w:ascii="Calibri" w:hAnsi="Calibri" w:cs="Calibri"/>
          <w:lang w:val="hr-HR"/>
        </w:rPr>
        <w:t>U okviru</w:t>
      </w:r>
      <w:r w:rsidRPr="00EA7FD9">
        <w:rPr>
          <w:rFonts w:ascii="Calibri" w:hAnsi="Calibri" w:cs="Calibri"/>
          <w:lang w:val="hr-HR"/>
        </w:rPr>
        <w:t xml:space="preserve"> provedene procjene ispitano je sljedeće:</w:t>
      </w:r>
    </w:p>
    <w:p w14:paraId="3764D5F9" w14:textId="77777777" w:rsidR="00132E7D" w:rsidRPr="00EA7FD9" w:rsidRDefault="00132E7D" w:rsidP="00F030D3">
      <w:pPr>
        <w:pStyle w:val="ListParagraph"/>
        <w:numPr>
          <w:ilvl w:val="0"/>
          <w:numId w:val="23"/>
        </w:numPr>
        <w:spacing w:before="40" w:after="40" w:line="300" w:lineRule="auto"/>
        <w:ind w:left="714" w:hanging="357"/>
        <w:rPr>
          <w:rFonts w:ascii="Calibri" w:hAnsi="Calibri" w:cs="Calibri"/>
          <w:lang w:val="hr-HR"/>
        </w:rPr>
      </w:pPr>
      <w:r>
        <w:rPr>
          <w:rFonts w:ascii="Calibri" w:hAnsi="Calibri" w:cs="Calibri"/>
          <w:lang w:val="hr-HR"/>
        </w:rPr>
        <w:t>mogućnosti</w:t>
      </w:r>
      <w:r w:rsidRPr="00EA7FD9">
        <w:rPr>
          <w:rFonts w:ascii="Calibri" w:hAnsi="Calibri" w:cs="Calibri"/>
          <w:lang w:val="hr-HR"/>
        </w:rPr>
        <w:t xml:space="preserve"> za ulaganja (</w:t>
      </w:r>
      <w:r>
        <w:rPr>
          <w:rFonts w:ascii="Calibri" w:hAnsi="Calibri" w:cs="Calibri"/>
          <w:lang w:val="hr-HR"/>
        </w:rPr>
        <w:t>primjerice,</w:t>
      </w:r>
      <w:r w:rsidRPr="00EA7FD9">
        <w:rPr>
          <w:rFonts w:ascii="Calibri" w:hAnsi="Calibri" w:cs="Calibri"/>
          <w:lang w:val="hr-HR"/>
        </w:rPr>
        <w:t xml:space="preserve"> u ključnu </w:t>
      </w:r>
      <w:r>
        <w:rPr>
          <w:rFonts w:ascii="Calibri" w:hAnsi="Calibri" w:cs="Calibri"/>
          <w:lang w:val="hr-HR"/>
        </w:rPr>
        <w:t>infrastrukturu vodoopskrbe</w:t>
      </w:r>
      <w:r w:rsidRPr="00EA7FD9">
        <w:rPr>
          <w:rFonts w:ascii="Calibri" w:hAnsi="Calibri" w:cs="Calibri"/>
          <w:lang w:val="hr-HR"/>
        </w:rPr>
        <w:t xml:space="preserve">, </w:t>
      </w:r>
      <w:r>
        <w:rPr>
          <w:rFonts w:ascii="Calibri" w:hAnsi="Calibri" w:cs="Calibri"/>
          <w:lang w:val="hr-HR"/>
        </w:rPr>
        <w:t>gospodarenje otpadom ili energiju</w:t>
      </w:r>
      <w:r w:rsidRPr="00EA7FD9">
        <w:rPr>
          <w:rFonts w:ascii="Calibri" w:hAnsi="Calibri" w:cs="Calibri"/>
          <w:lang w:val="hr-HR"/>
        </w:rPr>
        <w:t xml:space="preserve">; </w:t>
      </w:r>
      <w:r>
        <w:rPr>
          <w:rFonts w:ascii="Calibri" w:hAnsi="Calibri" w:cs="Calibri"/>
          <w:lang w:val="hr-HR"/>
        </w:rPr>
        <w:t>sanaciju zapuštenih/neiskorištenih</w:t>
      </w:r>
      <w:r w:rsidRPr="00EA7FD9">
        <w:rPr>
          <w:rFonts w:ascii="Calibri" w:hAnsi="Calibri" w:cs="Calibri"/>
          <w:lang w:val="hr-HR"/>
        </w:rPr>
        <w:t xml:space="preserve"> </w:t>
      </w:r>
      <w:r>
        <w:rPr>
          <w:rFonts w:ascii="Calibri" w:hAnsi="Calibri" w:cs="Calibri"/>
          <w:lang w:val="hr-HR"/>
        </w:rPr>
        <w:t>(</w:t>
      </w:r>
      <w:r w:rsidRPr="00A068B6">
        <w:rPr>
          <w:rFonts w:ascii="Calibri" w:hAnsi="Calibri" w:cs="Calibri"/>
          <w:i/>
          <w:iCs/>
          <w:lang w:val="hr-HR"/>
        </w:rPr>
        <w:t>brownfield</w:t>
      </w:r>
      <w:r>
        <w:rPr>
          <w:rFonts w:ascii="Calibri" w:hAnsi="Calibri" w:cs="Calibri"/>
          <w:lang w:val="hr-HR"/>
        </w:rPr>
        <w:t>)</w:t>
      </w:r>
      <w:r w:rsidRPr="00EA7FD9">
        <w:rPr>
          <w:rFonts w:ascii="Calibri" w:hAnsi="Calibri" w:cs="Calibri"/>
          <w:lang w:val="hr-HR"/>
        </w:rPr>
        <w:t xml:space="preserve"> </w:t>
      </w:r>
      <w:r>
        <w:rPr>
          <w:rFonts w:ascii="Calibri" w:hAnsi="Calibri" w:cs="Calibri"/>
          <w:lang w:val="hr-HR"/>
        </w:rPr>
        <w:t>zemljišta</w:t>
      </w:r>
      <w:r w:rsidRPr="00EA7FD9">
        <w:rPr>
          <w:rFonts w:ascii="Calibri" w:hAnsi="Calibri" w:cs="Calibri"/>
          <w:lang w:val="hr-HR"/>
        </w:rPr>
        <w:t xml:space="preserve"> u svrhu njihove pripreme za razvoj; </w:t>
      </w:r>
      <w:r>
        <w:rPr>
          <w:rFonts w:ascii="Calibri" w:hAnsi="Calibri" w:cs="Calibri"/>
          <w:lang w:val="hr-HR"/>
        </w:rPr>
        <w:t xml:space="preserve">energetsku učinkovitost </w:t>
      </w:r>
      <w:r w:rsidRPr="00D57B89">
        <w:rPr>
          <w:rFonts w:ascii="Calibri" w:hAnsi="Calibri" w:cs="Calibri"/>
          <w:lang w:val="hr-HR"/>
        </w:rPr>
        <w:t xml:space="preserve">stambenih zgrada; </w:t>
      </w:r>
      <w:r>
        <w:rPr>
          <w:rFonts w:ascii="Calibri" w:hAnsi="Calibri" w:cs="Calibri"/>
          <w:lang w:val="hr-HR"/>
        </w:rPr>
        <w:t>kulturno-povijesnu</w:t>
      </w:r>
      <w:r w:rsidRPr="00D80F40">
        <w:rPr>
          <w:rFonts w:ascii="Calibri" w:hAnsi="Calibri" w:cs="Calibri"/>
          <w:lang w:val="hr-HR"/>
        </w:rPr>
        <w:t xml:space="preserve"> baštinu</w:t>
      </w:r>
      <w:r>
        <w:rPr>
          <w:rFonts w:ascii="Calibri" w:hAnsi="Calibri" w:cs="Calibri"/>
          <w:lang w:val="hr-HR"/>
        </w:rPr>
        <w:t xml:space="preserve"> </w:t>
      </w:r>
      <w:r w:rsidRPr="00EA7FD9">
        <w:rPr>
          <w:rFonts w:ascii="Calibri" w:hAnsi="Calibri" w:cs="Calibri"/>
          <w:lang w:val="hr-HR"/>
        </w:rPr>
        <w:t>i povezanu infrastrukturu)</w:t>
      </w:r>
      <w:r>
        <w:rPr>
          <w:rFonts w:ascii="Calibri" w:hAnsi="Calibri" w:cs="Calibri"/>
          <w:lang w:val="hr-HR"/>
        </w:rPr>
        <w:t>;</w:t>
      </w:r>
    </w:p>
    <w:p w14:paraId="32717365" w14:textId="77777777" w:rsidR="00132E7D" w:rsidRPr="00EA7FD9" w:rsidRDefault="00132E7D" w:rsidP="00F030D3">
      <w:pPr>
        <w:pStyle w:val="ListParagraph"/>
        <w:numPr>
          <w:ilvl w:val="0"/>
          <w:numId w:val="23"/>
        </w:numPr>
        <w:spacing w:before="40" w:after="40" w:line="300" w:lineRule="auto"/>
        <w:ind w:left="714" w:hanging="357"/>
        <w:rPr>
          <w:rFonts w:ascii="Calibri" w:hAnsi="Calibri" w:cs="Calibri"/>
          <w:lang w:val="hr-HR"/>
        </w:rPr>
      </w:pPr>
      <w:r w:rsidRPr="00EA7FD9">
        <w:rPr>
          <w:rFonts w:ascii="Calibri" w:hAnsi="Calibri" w:cs="Calibri"/>
          <w:lang w:val="hr-HR"/>
        </w:rPr>
        <w:t xml:space="preserve">postojanje ili potencijal </w:t>
      </w:r>
      <w:r>
        <w:rPr>
          <w:rFonts w:ascii="Calibri" w:hAnsi="Calibri" w:cs="Calibri"/>
          <w:lang w:val="hr-HR"/>
        </w:rPr>
        <w:t xml:space="preserve">za </w:t>
      </w:r>
      <w:r w:rsidRPr="00EA7FD9">
        <w:rPr>
          <w:rFonts w:ascii="Calibri" w:hAnsi="Calibri" w:cs="Calibri"/>
          <w:lang w:val="hr-HR"/>
        </w:rPr>
        <w:t>osnivanj</w:t>
      </w:r>
      <w:r>
        <w:rPr>
          <w:rFonts w:ascii="Calibri" w:hAnsi="Calibri" w:cs="Calibri"/>
          <w:lang w:val="hr-HR"/>
        </w:rPr>
        <w:t>e</w:t>
      </w:r>
      <w:r w:rsidRPr="00EA7FD9">
        <w:rPr>
          <w:rFonts w:ascii="Calibri" w:hAnsi="Calibri" w:cs="Calibri"/>
          <w:lang w:val="hr-HR"/>
        </w:rPr>
        <w:t xml:space="preserve"> partnerstava za OUR</w:t>
      </w:r>
      <w:r>
        <w:rPr>
          <w:rFonts w:ascii="Calibri" w:hAnsi="Calibri" w:cs="Calibri"/>
          <w:lang w:val="hr-HR"/>
        </w:rPr>
        <w:t>;</w:t>
      </w:r>
    </w:p>
    <w:p w14:paraId="4564BD89" w14:textId="77777777" w:rsidR="00132E7D" w:rsidRPr="00EA7FD9" w:rsidRDefault="00132E7D" w:rsidP="00F030D3">
      <w:pPr>
        <w:pStyle w:val="ListParagraph"/>
        <w:numPr>
          <w:ilvl w:val="0"/>
          <w:numId w:val="23"/>
        </w:numPr>
        <w:spacing w:before="40" w:after="40" w:line="300" w:lineRule="auto"/>
        <w:ind w:left="714" w:hanging="357"/>
        <w:rPr>
          <w:rFonts w:ascii="Calibri" w:hAnsi="Calibri" w:cs="Calibri"/>
          <w:lang w:val="hr-HR"/>
        </w:rPr>
      </w:pPr>
      <w:r w:rsidRPr="00EA7FD9">
        <w:rPr>
          <w:rFonts w:ascii="Calibri" w:hAnsi="Calibri" w:cs="Calibri"/>
          <w:lang w:val="hr-HR"/>
        </w:rPr>
        <w:t>postojanje ili potencijal za izradu integriranih planova za OUR</w:t>
      </w:r>
      <w:r>
        <w:rPr>
          <w:rFonts w:ascii="Calibri" w:hAnsi="Calibri" w:cs="Calibri"/>
          <w:lang w:val="hr-HR"/>
        </w:rPr>
        <w:t>;</w:t>
      </w:r>
      <w:r w:rsidRPr="00EA7FD9">
        <w:rPr>
          <w:rFonts w:ascii="Calibri" w:hAnsi="Calibri" w:cs="Calibri"/>
          <w:lang w:val="hr-HR"/>
        </w:rPr>
        <w:t xml:space="preserve"> </w:t>
      </w:r>
    </w:p>
    <w:p w14:paraId="44C8146D" w14:textId="77777777" w:rsidR="00132E7D" w:rsidRPr="00EA7FD9" w:rsidRDefault="00132E7D" w:rsidP="00F030D3">
      <w:pPr>
        <w:pStyle w:val="ListParagraph"/>
        <w:numPr>
          <w:ilvl w:val="0"/>
          <w:numId w:val="23"/>
        </w:numPr>
        <w:spacing w:before="40" w:after="40" w:line="300" w:lineRule="auto"/>
        <w:ind w:left="714" w:hanging="357"/>
        <w:rPr>
          <w:rFonts w:ascii="Calibri" w:hAnsi="Calibri" w:cs="Calibri"/>
          <w:lang w:val="hr-HR"/>
        </w:rPr>
      </w:pPr>
      <w:r w:rsidRPr="00EA7FD9">
        <w:rPr>
          <w:rFonts w:ascii="Calibri" w:hAnsi="Calibri" w:cs="Calibri"/>
          <w:lang w:val="hr-HR"/>
        </w:rPr>
        <w:t xml:space="preserve">kapacitet za upravljanje </w:t>
      </w:r>
      <w:r>
        <w:rPr>
          <w:rFonts w:ascii="Calibri" w:hAnsi="Calibri" w:cs="Calibri"/>
          <w:lang w:val="hr-HR"/>
        </w:rPr>
        <w:t>fondovima za urbani razvoj</w:t>
      </w:r>
      <w:r w:rsidRPr="00EA7FD9">
        <w:rPr>
          <w:rFonts w:ascii="Calibri" w:hAnsi="Calibri" w:cs="Calibri"/>
          <w:lang w:val="hr-HR"/>
        </w:rPr>
        <w:t xml:space="preserve"> (definiranim u čl. 43. i čl. 46. </w:t>
      </w:r>
      <w:r>
        <w:rPr>
          <w:rFonts w:ascii="Calibri" w:hAnsi="Calibri" w:cs="Calibri"/>
          <w:lang w:val="hr-HR"/>
        </w:rPr>
        <w:t>Uredbe br.</w:t>
      </w:r>
      <w:r w:rsidRPr="00EA7FD9">
        <w:rPr>
          <w:rFonts w:ascii="Calibri" w:hAnsi="Calibri" w:cs="Calibri"/>
          <w:lang w:val="hr-HR"/>
        </w:rPr>
        <w:t xml:space="preserve"> 1828/2006).</w:t>
      </w:r>
    </w:p>
    <w:p w14:paraId="4AC46367" w14:textId="190EF954" w:rsidR="00132E7D" w:rsidRPr="00EA7FD9" w:rsidRDefault="00132E7D" w:rsidP="00F030D3">
      <w:pPr>
        <w:spacing w:before="40" w:after="40" w:line="300" w:lineRule="auto"/>
        <w:rPr>
          <w:rFonts w:ascii="Calibri" w:hAnsi="Calibri" w:cs="Calibri"/>
          <w:lang w:val="hr-HR"/>
        </w:rPr>
      </w:pPr>
      <w:r w:rsidRPr="00EA7FD9">
        <w:rPr>
          <w:rFonts w:ascii="Calibri" w:hAnsi="Calibri" w:cs="Calibri"/>
          <w:lang w:val="hr-HR"/>
        </w:rPr>
        <w:t xml:space="preserve">Cilj predmetne preliminarne procjene je pružanje potrebnih informacija koje će poduprijeti odluku o </w:t>
      </w:r>
      <w:r>
        <w:rPr>
          <w:rFonts w:ascii="Calibri" w:hAnsi="Calibri" w:cs="Calibri"/>
          <w:lang w:val="hr-HR"/>
        </w:rPr>
        <w:t>pokretanju</w:t>
      </w:r>
      <w:r w:rsidRPr="00EA7FD9">
        <w:rPr>
          <w:rFonts w:ascii="Calibri" w:hAnsi="Calibri" w:cs="Calibri"/>
          <w:lang w:val="hr-HR"/>
        </w:rPr>
        <w:t xml:space="preserve"> </w:t>
      </w:r>
      <w:r>
        <w:rPr>
          <w:rFonts w:ascii="Calibri" w:hAnsi="Calibri" w:cs="Calibri"/>
          <w:lang w:val="hr-HR"/>
        </w:rPr>
        <w:t xml:space="preserve">pune i </w:t>
      </w:r>
      <w:r w:rsidRPr="00EA7FD9">
        <w:rPr>
          <w:rFonts w:ascii="Calibri" w:hAnsi="Calibri" w:cs="Calibri"/>
          <w:lang w:val="hr-HR"/>
        </w:rPr>
        <w:t>formal</w:t>
      </w:r>
      <w:r>
        <w:rPr>
          <w:rFonts w:ascii="Calibri" w:hAnsi="Calibri" w:cs="Calibri"/>
          <w:lang w:val="hr-HR"/>
        </w:rPr>
        <w:t>ne</w:t>
      </w:r>
      <w:r w:rsidRPr="00EA7FD9">
        <w:rPr>
          <w:rFonts w:ascii="Calibri" w:hAnsi="Calibri" w:cs="Calibri"/>
          <w:lang w:val="hr-HR"/>
        </w:rPr>
        <w:t xml:space="preserve"> ex-ante procjene u skladu sa zahtjevima čl. 37. (2.) </w:t>
      </w:r>
      <w:r>
        <w:rPr>
          <w:rFonts w:ascii="Calibri" w:hAnsi="Calibri" w:cs="Calibri"/>
          <w:lang w:val="hr-HR"/>
        </w:rPr>
        <w:t>Uredbe o utvrđivanju zajedničkih odredbi br.</w:t>
      </w:r>
      <w:r w:rsidRPr="00EA7FD9">
        <w:rPr>
          <w:rFonts w:ascii="Calibri" w:hAnsi="Calibri" w:cs="Calibri"/>
          <w:lang w:val="hr-HR"/>
        </w:rPr>
        <w:t xml:space="preserve"> 1303/2013 prije </w:t>
      </w:r>
      <w:r>
        <w:rPr>
          <w:rFonts w:ascii="Calibri" w:hAnsi="Calibri" w:cs="Calibri"/>
          <w:lang w:val="hr-HR"/>
        </w:rPr>
        <w:t>osnivanja</w:t>
      </w:r>
      <w:r w:rsidRPr="00EA7FD9">
        <w:rPr>
          <w:rFonts w:ascii="Calibri" w:hAnsi="Calibri" w:cs="Calibri"/>
          <w:lang w:val="hr-HR"/>
        </w:rPr>
        <w:t xml:space="preserve"> fondova tipa JESSICA u Hrvatskoj.  </w:t>
      </w:r>
    </w:p>
    <w:p w14:paraId="6B263D08" w14:textId="77777777" w:rsidR="00132E7D" w:rsidRPr="00EA7FD9" w:rsidRDefault="00132E7D" w:rsidP="00F030D3">
      <w:pPr>
        <w:spacing w:before="40" w:after="40" w:line="300" w:lineRule="auto"/>
        <w:rPr>
          <w:rFonts w:ascii="Calibri" w:hAnsi="Calibri" w:cs="Calibri"/>
          <w:lang w:val="hr-HR"/>
        </w:rPr>
      </w:pPr>
      <w:r w:rsidRPr="00EA7FD9">
        <w:rPr>
          <w:rFonts w:ascii="Calibri" w:hAnsi="Calibri" w:cs="Calibri"/>
          <w:lang w:val="hr-HR"/>
        </w:rPr>
        <w:t xml:space="preserve">Istraživanje u okviru </w:t>
      </w:r>
      <w:r>
        <w:rPr>
          <w:rFonts w:ascii="Calibri" w:hAnsi="Calibri" w:cs="Calibri"/>
          <w:lang w:val="hr-HR"/>
        </w:rPr>
        <w:t>ovog</w:t>
      </w:r>
      <w:r w:rsidRPr="00EA7FD9">
        <w:rPr>
          <w:rFonts w:ascii="Calibri" w:hAnsi="Calibri" w:cs="Calibri"/>
          <w:lang w:val="hr-HR"/>
        </w:rPr>
        <w:t xml:space="preserve"> zadatka</w:t>
      </w:r>
      <w:r>
        <w:rPr>
          <w:rFonts w:ascii="Calibri" w:hAnsi="Calibri" w:cs="Calibri"/>
          <w:lang w:val="hr-HR"/>
        </w:rPr>
        <w:t xml:space="preserve"> obuhvaćalo</w:t>
      </w:r>
      <w:r w:rsidRPr="00EA7FD9">
        <w:rPr>
          <w:rFonts w:ascii="Calibri" w:hAnsi="Calibri" w:cs="Calibri"/>
          <w:lang w:val="hr-HR"/>
        </w:rPr>
        <w:t xml:space="preserve"> je: </w:t>
      </w:r>
    </w:p>
    <w:p w14:paraId="35005B36" w14:textId="77777777" w:rsidR="00132E7D" w:rsidRPr="00EA7FD9" w:rsidRDefault="00132E7D" w:rsidP="00F030D3">
      <w:pPr>
        <w:pStyle w:val="ListParagraph"/>
        <w:numPr>
          <w:ilvl w:val="0"/>
          <w:numId w:val="24"/>
        </w:numPr>
        <w:spacing w:before="40" w:after="40" w:line="300" w:lineRule="auto"/>
        <w:ind w:left="284" w:hanging="284"/>
        <w:rPr>
          <w:rFonts w:ascii="Calibri" w:hAnsi="Calibri" w:cs="Calibri"/>
          <w:lang w:val="hr-HR"/>
        </w:rPr>
      </w:pPr>
      <w:r w:rsidRPr="00EA7FD9">
        <w:rPr>
          <w:rFonts w:ascii="Calibri" w:hAnsi="Calibri" w:cs="Calibri"/>
          <w:lang w:val="hr-HR"/>
        </w:rPr>
        <w:t xml:space="preserve">analizu objavljenih materijala o JESSICA-i i </w:t>
      </w:r>
      <w:r>
        <w:rPr>
          <w:rFonts w:ascii="Calibri" w:hAnsi="Calibri" w:cs="Calibri"/>
          <w:lang w:val="hr-HR"/>
        </w:rPr>
        <w:t xml:space="preserve">s njom </w:t>
      </w:r>
      <w:r w:rsidRPr="00EA7FD9">
        <w:rPr>
          <w:rFonts w:ascii="Calibri" w:hAnsi="Calibri" w:cs="Calibri"/>
          <w:lang w:val="hr-HR"/>
        </w:rPr>
        <w:t xml:space="preserve">povezanim </w:t>
      </w:r>
      <w:r>
        <w:rPr>
          <w:rFonts w:ascii="Calibri" w:hAnsi="Calibri" w:cs="Calibri"/>
          <w:lang w:val="hr-HR"/>
        </w:rPr>
        <w:t>projektima energetske učinkovitosti</w:t>
      </w:r>
      <w:r w:rsidRPr="00EA7FD9">
        <w:rPr>
          <w:rFonts w:ascii="Calibri" w:hAnsi="Calibri" w:cs="Calibri"/>
          <w:lang w:val="hr-HR"/>
        </w:rPr>
        <w:t xml:space="preserve">, uključujući i procjene i materijale </w:t>
      </w:r>
      <w:r>
        <w:rPr>
          <w:rFonts w:ascii="Calibri" w:hAnsi="Calibri" w:cs="Calibri"/>
          <w:lang w:val="hr-HR"/>
        </w:rPr>
        <w:t xml:space="preserve">dostupne unutar </w:t>
      </w:r>
      <w:r w:rsidRPr="00D57B89">
        <w:rPr>
          <w:rFonts w:ascii="Calibri" w:hAnsi="Calibri" w:cs="Calibri"/>
          <w:lang w:val="hr-HR"/>
        </w:rPr>
        <w:t>Platforme za potporu u sklopu JESSICA-e</w:t>
      </w:r>
      <w:r>
        <w:rPr>
          <w:rFonts w:ascii="Calibri" w:hAnsi="Calibri" w:cs="Calibri"/>
          <w:lang w:val="hr-HR"/>
        </w:rPr>
        <w:t>;</w:t>
      </w:r>
    </w:p>
    <w:p w14:paraId="69B7F178" w14:textId="6E7FC1C3" w:rsidR="00132E7D" w:rsidRPr="00EA7FD9" w:rsidRDefault="00132E7D" w:rsidP="00F030D3">
      <w:pPr>
        <w:pStyle w:val="ListParagraph"/>
        <w:numPr>
          <w:ilvl w:val="0"/>
          <w:numId w:val="24"/>
        </w:numPr>
        <w:spacing w:before="40" w:after="40" w:line="300" w:lineRule="auto"/>
        <w:ind w:left="284" w:hanging="284"/>
        <w:rPr>
          <w:rFonts w:ascii="Calibri" w:hAnsi="Calibri" w:cs="Calibri"/>
          <w:lang w:val="hr-HR"/>
        </w:rPr>
      </w:pPr>
      <w:r w:rsidRPr="00EA7FD9">
        <w:rPr>
          <w:rFonts w:ascii="Calibri" w:hAnsi="Calibri" w:cs="Calibri"/>
          <w:lang w:val="hr-HR"/>
        </w:rPr>
        <w:t xml:space="preserve">konzultacije s voditeljima operativnih programa (OP) u </w:t>
      </w:r>
      <w:r>
        <w:rPr>
          <w:rFonts w:ascii="Calibri" w:hAnsi="Calibri" w:cs="Calibri"/>
          <w:lang w:val="hr-HR"/>
        </w:rPr>
        <w:t>Velikoj Britaniji</w:t>
      </w:r>
      <w:r w:rsidRPr="00EA7FD9">
        <w:rPr>
          <w:rFonts w:ascii="Calibri" w:hAnsi="Calibri" w:cs="Calibri"/>
          <w:lang w:val="hr-HR"/>
        </w:rPr>
        <w:t xml:space="preserve"> i Litvi </w:t>
      </w:r>
      <w:r>
        <w:rPr>
          <w:rFonts w:ascii="Calibri" w:hAnsi="Calibri" w:cs="Calibri"/>
          <w:lang w:val="hr-HR"/>
        </w:rPr>
        <w:t>o njihovim iskustvima</w:t>
      </w:r>
      <w:r w:rsidRPr="00EA7FD9">
        <w:rPr>
          <w:rFonts w:ascii="Calibri" w:hAnsi="Calibri" w:cs="Calibri"/>
          <w:lang w:val="hr-HR"/>
        </w:rPr>
        <w:t xml:space="preserve"> s pretvaranjem </w:t>
      </w:r>
      <w:r w:rsidRPr="00A154F5">
        <w:rPr>
          <w:rFonts w:ascii="Calibri" w:hAnsi="Calibri" w:cs="Calibri"/>
          <w:lang w:val="hr-HR"/>
        </w:rPr>
        <w:t>dodijeljenih sredstava iz fondova JESSICA i</w:t>
      </w:r>
      <w:r w:rsidRPr="007C386A">
        <w:rPr>
          <w:rFonts w:ascii="Calibri" w:hAnsi="Calibri" w:cs="Calibri"/>
          <w:lang w:val="hr-HR"/>
        </w:rPr>
        <w:t xml:space="preserve"> fondova za energetsku učinkovitost</w:t>
      </w:r>
      <w:r w:rsidRPr="00EA7FD9">
        <w:rPr>
          <w:rFonts w:ascii="Calibri" w:hAnsi="Calibri" w:cs="Calibri"/>
          <w:lang w:val="hr-HR"/>
        </w:rPr>
        <w:t xml:space="preserve"> u stvarn</w:t>
      </w:r>
      <w:r>
        <w:rPr>
          <w:rFonts w:ascii="Calibri" w:hAnsi="Calibri" w:cs="Calibri"/>
          <w:lang w:val="hr-HR"/>
        </w:rPr>
        <w:t>a ulaganja</w:t>
      </w:r>
      <w:r w:rsidRPr="00EA7FD9">
        <w:rPr>
          <w:rFonts w:ascii="Calibri" w:hAnsi="Calibri" w:cs="Calibri"/>
          <w:lang w:val="hr-HR"/>
        </w:rPr>
        <w:t xml:space="preserve"> te opseg  i razmjer </w:t>
      </w:r>
      <w:r>
        <w:rPr>
          <w:rFonts w:ascii="Calibri" w:hAnsi="Calibri" w:cs="Calibri"/>
          <w:lang w:val="hr-HR"/>
        </w:rPr>
        <w:t>ulaganja koja su primila</w:t>
      </w:r>
      <w:r w:rsidRPr="00EA7FD9">
        <w:rPr>
          <w:rFonts w:ascii="Calibri" w:hAnsi="Calibri" w:cs="Calibri"/>
          <w:lang w:val="hr-HR"/>
        </w:rPr>
        <w:t xml:space="preserve"> potporu</w:t>
      </w:r>
      <w:r>
        <w:rPr>
          <w:rFonts w:ascii="Calibri" w:hAnsi="Calibri" w:cs="Calibri"/>
          <w:lang w:val="hr-HR"/>
        </w:rPr>
        <w:t>;</w:t>
      </w:r>
    </w:p>
    <w:p w14:paraId="50B7740A" w14:textId="36394329" w:rsidR="00132E7D" w:rsidRPr="00EA7FD9" w:rsidRDefault="00132E7D" w:rsidP="00F030D3">
      <w:pPr>
        <w:pStyle w:val="ListParagraph"/>
        <w:numPr>
          <w:ilvl w:val="0"/>
          <w:numId w:val="24"/>
        </w:numPr>
        <w:spacing w:before="40" w:after="40" w:line="300" w:lineRule="auto"/>
        <w:ind w:left="284" w:hanging="284"/>
        <w:rPr>
          <w:rFonts w:ascii="Calibri" w:hAnsi="Calibri" w:cs="Calibri"/>
          <w:lang w:val="hr-HR"/>
        </w:rPr>
      </w:pPr>
      <w:r w:rsidRPr="006F4187">
        <w:rPr>
          <w:rFonts w:ascii="Calibri" w:hAnsi="Calibri" w:cs="Calibri"/>
          <w:lang w:val="hr-HR"/>
        </w:rPr>
        <w:t>procjenu funkcionalnosti tržišta</w:t>
      </w:r>
      <w:r>
        <w:rPr>
          <w:rFonts w:ascii="Calibri" w:hAnsi="Calibri" w:cs="Calibri"/>
          <w:lang w:val="hr-HR"/>
        </w:rPr>
        <w:t xml:space="preserve"> komercijalnih nekretnina u</w:t>
      </w:r>
      <w:r w:rsidRPr="00EA7FD9">
        <w:rPr>
          <w:rFonts w:ascii="Calibri" w:hAnsi="Calibri" w:cs="Calibri"/>
          <w:lang w:val="hr-HR"/>
        </w:rPr>
        <w:t xml:space="preserve"> Hrvatskoj te tržišnih uvjeta </w:t>
      </w:r>
      <w:r>
        <w:rPr>
          <w:rFonts w:ascii="Calibri" w:hAnsi="Calibri" w:cs="Calibri"/>
          <w:lang w:val="hr-HR"/>
        </w:rPr>
        <w:t>kroz preispitivanje</w:t>
      </w:r>
      <w:r w:rsidRPr="00EA7FD9">
        <w:rPr>
          <w:rFonts w:ascii="Calibri" w:hAnsi="Calibri" w:cs="Calibri"/>
          <w:lang w:val="hr-HR"/>
        </w:rPr>
        <w:t xml:space="preserve"> analiza </w:t>
      </w:r>
      <w:r>
        <w:rPr>
          <w:rFonts w:ascii="Calibri" w:hAnsi="Calibri" w:cs="Calibri"/>
          <w:lang w:val="hr-HR"/>
        </w:rPr>
        <w:t>tržišta nekretnina</w:t>
      </w:r>
      <w:r w:rsidRPr="00EA7FD9">
        <w:rPr>
          <w:rFonts w:ascii="Calibri" w:hAnsi="Calibri" w:cs="Calibri"/>
          <w:lang w:val="hr-HR"/>
        </w:rPr>
        <w:t xml:space="preserve"> i konzultacij</w:t>
      </w:r>
      <w:r>
        <w:rPr>
          <w:rFonts w:ascii="Calibri" w:hAnsi="Calibri" w:cs="Calibri"/>
          <w:lang w:val="hr-HR"/>
        </w:rPr>
        <w:t>e</w:t>
      </w:r>
      <w:r w:rsidRPr="00EA7FD9">
        <w:rPr>
          <w:rFonts w:ascii="Calibri" w:hAnsi="Calibri" w:cs="Calibri"/>
          <w:lang w:val="hr-HR"/>
        </w:rPr>
        <w:t xml:space="preserve"> sa stručnjacima </w:t>
      </w:r>
      <w:r>
        <w:rPr>
          <w:rFonts w:ascii="Calibri" w:hAnsi="Calibri" w:cs="Calibri"/>
          <w:lang w:val="hr-HR"/>
        </w:rPr>
        <w:t>za ovo tržište;</w:t>
      </w:r>
    </w:p>
    <w:p w14:paraId="28EB8F9B" w14:textId="4DD25655" w:rsidR="00132E7D" w:rsidRPr="00290A12" w:rsidRDefault="00132E7D" w:rsidP="00F030D3">
      <w:pPr>
        <w:pStyle w:val="ListParagraph"/>
        <w:numPr>
          <w:ilvl w:val="0"/>
          <w:numId w:val="24"/>
        </w:numPr>
        <w:spacing w:before="40" w:after="40" w:line="300" w:lineRule="auto"/>
        <w:ind w:left="284" w:hanging="284"/>
        <w:rPr>
          <w:rFonts w:ascii="Calibri" w:hAnsi="Calibri" w:cs="Calibri"/>
          <w:lang w:val="hr-HR"/>
        </w:rPr>
      </w:pPr>
      <w:r w:rsidRPr="00EA7FD9">
        <w:rPr>
          <w:rFonts w:ascii="Calibri" w:hAnsi="Calibri" w:cs="Calibri"/>
          <w:lang w:val="hr-HR"/>
        </w:rPr>
        <w:t>konzultacije s velikim i srednje velikim hrvatskim gradovima koje su uključivale ispitivanje interesa za glavne kategorije ulaganja koje mogu dobiti</w:t>
      </w:r>
      <w:r>
        <w:rPr>
          <w:rFonts w:ascii="Calibri" w:hAnsi="Calibri" w:cs="Calibri"/>
          <w:lang w:val="hr-HR"/>
        </w:rPr>
        <w:t xml:space="preserve"> potporu </w:t>
      </w:r>
      <w:r w:rsidRPr="00EA7FD9">
        <w:rPr>
          <w:rFonts w:ascii="Calibri" w:hAnsi="Calibri" w:cs="Calibri"/>
          <w:lang w:val="hr-HR"/>
        </w:rPr>
        <w:t>JESSICA</w:t>
      </w:r>
      <w:r>
        <w:rPr>
          <w:rFonts w:ascii="Calibri" w:hAnsi="Calibri" w:cs="Calibri"/>
          <w:lang w:val="hr-HR"/>
        </w:rPr>
        <w:t>-e</w:t>
      </w:r>
      <w:r w:rsidRPr="00EA7FD9">
        <w:rPr>
          <w:rFonts w:ascii="Calibri" w:hAnsi="Calibri" w:cs="Calibri"/>
          <w:lang w:val="hr-HR"/>
        </w:rPr>
        <w:t xml:space="preserve">, postojanje razvojnih partnerstava i planova, te ispitivanje prioriteta ulaganja koje su </w:t>
      </w:r>
      <w:r>
        <w:rPr>
          <w:rFonts w:ascii="Calibri" w:hAnsi="Calibri" w:cs="Calibri"/>
          <w:lang w:val="hr-HR"/>
        </w:rPr>
        <w:t>gradovi</w:t>
      </w:r>
      <w:r w:rsidRPr="00EA7FD9">
        <w:rPr>
          <w:rFonts w:ascii="Calibri" w:hAnsi="Calibri" w:cs="Calibri"/>
          <w:lang w:val="hr-HR"/>
        </w:rPr>
        <w:t xml:space="preserve"> istaknul</w:t>
      </w:r>
      <w:r>
        <w:rPr>
          <w:rFonts w:ascii="Calibri" w:hAnsi="Calibri" w:cs="Calibri"/>
          <w:lang w:val="hr-HR"/>
        </w:rPr>
        <w:t>i</w:t>
      </w:r>
      <w:r w:rsidRPr="00EA7FD9">
        <w:rPr>
          <w:rFonts w:ascii="Calibri" w:hAnsi="Calibri" w:cs="Calibri"/>
          <w:lang w:val="hr-HR"/>
        </w:rPr>
        <w:t xml:space="preserve"> u upitniku provedenom u okviru </w:t>
      </w:r>
      <w:r w:rsidRPr="00290A12">
        <w:rPr>
          <w:rFonts w:ascii="Calibri" w:hAnsi="Calibri" w:cs="Calibri"/>
          <w:i/>
          <w:iCs/>
          <w:lang w:val="hr-HR"/>
        </w:rPr>
        <w:t>Analitičk</w:t>
      </w:r>
      <w:r>
        <w:rPr>
          <w:rFonts w:ascii="Calibri" w:hAnsi="Calibri" w:cs="Calibri"/>
          <w:i/>
          <w:iCs/>
          <w:lang w:val="hr-HR"/>
        </w:rPr>
        <w:t>e</w:t>
      </w:r>
      <w:r w:rsidRPr="00290A12">
        <w:rPr>
          <w:rFonts w:ascii="Calibri" w:hAnsi="Calibri" w:cs="Calibri"/>
          <w:i/>
          <w:iCs/>
          <w:lang w:val="hr-HR"/>
        </w:rPr>
        <w:t xml:space="preserve"> studij</w:t>
      </w:r>
      <w:r>
        <w:rPr>
          <w:rFonts w:ascii="Calibri" w:hAnsi="Calibri" w:cs="Calibri"/>
          <w:i/>
          <w:iCs/>
          <w:lang w:val="hr-HR"/>
        </w:rPr>
        <w:t>e</w:t>
      </w:r>
      <w:r w:rsidRPr="00290A12">
        <w:rPr>
          <w:rFonts w:ascii="Calibri" w:hAnsi="Calibri" w:cs="Calibri"/>
          <w:i/>
          <w:iCs/>
          <w:lang w:val="hr-HR"/>
        </w:rPr>
        <w:t xml:space="preserve"> o održivom urbanom razvoju</w:t>
      </w:r>
      <w:r>
        <w:rPr>
          <w:rFonts w:ascii="Calibri" w:hAnsi="Calibri" w:cs="Calibri"/>
          <w:i/>
          <w:iCs/>
          <w:lang w:val="hr-HR"/>
        </w:rPr>
        <w:t>;</w:t>
      </w:r>
    </w:p>
    <w:p w14:paraId="6FF0FD54" w14:textId="77777777" w:rsidR="00132E7D" w:rsidRPr="00EA7FD9" w:rsidRDefault="00132E7D" w:rsidP="00F030D3">
      <w:pPr>
        <w:pStyle w:val="ListParagraph"/>
        <w:numPr>
          <w:ilvl w:val="0"/>
          <w:numId w:val="24"/>
        </w:numPr>
        <w:spacing w:before="40" w:after="40" w:line="300" w:lineRule="auto"/>
        <w:ind w:left="284" w:hanging="284"/>
        <w:rPr>
          <w:rFonts w:ascii="Calibri" w:hAnsi="Calibri" w:cs="Calibri"/>
          <w:lang w:val="hr-HR"/>
        </w:rPr>
      </w:pPr>
      <w:r w:rsidRPr="00EA7FD9">
        <w:rPr>
          <w:rFonts w:ascii="Calibri" w:hAnsi="Calibri" w:cs="Calibri"/>
          <w:lang w:val="hr-HR"/>
        </w:rPr>
        <w:t xml:space="preserve">razgovore s </w:t>
      </w:r>
      <w:r>
        <w:rPr>
          <w:rFonts w:ascii="Calibri" w:hAnsi="Calibri" w:cs="Calibri"/>
          <w:lang w:val="hr-HR"/>
        </w:rPr>
        <w:t xml:space="preserve">predstavnicima </w:t>
      </w:r>
      <w:r w:rsidRPr="00EA7FD9">
        <w:rPr>
          <w:rFonts w:ascii="Calibri" w:hAnsi="Calibri" w:cs="Calibri"/>
          <w:lang w:val="hr-HR"/>
        </w:rPr>
        <w:t>financijski</w:t>
      </w:r>
      <w:r>
        <w:rPr>
          <w:rFonts w:ascii="Calibri" w:hAnsi="Calibri" w:cs="Calibri"/>
          <w:lang w:val="hr-HR"/>
        </w:rPr>
        <w:t>h</w:t>
      </w:r>
      <w:r w:rsidRPr="00EA7FD9">
        <w:rPr>
          <w:rFonts w:ascii="Calibri" w:hAnsi="Calibri" w:cs="Calibri"/>
          <w:lang w:val="hr-HR"/>
        </w:rPr>
        <w:t xml:space="preserve"> instituci</w:t>
      </w:r>
      <w:r>
        <w:rPr>
          <w:rFonts w:ascii="Calibri" w:hAnsi="Calibri" w:cs="Calibri"/>
          <w:lang w:val="hr-HR"/>
        </w:rPr>
        <w:t>j</w:t>
      </w:r>
      <w:r w:rsidRPr="00EA7FD9">
        <w:rPr>
          <w:rFonts w:ascii="Calibri" w:hAnsi="Calibri" w:cs="Calibri"/>
          <w:lang w:val="hr-HR"/>
        </w:rPr>
        <w:t xml:space="preserve">a </w:t>
      </w:r>
      <w:r>
        <w:rPr>
          <w:rFonts w:ascii="Calibri" w:hAnsi="Calibri" w:cs="Calibri"/>
          <w:lang w:val="hr-HR"/>
        </w:rPr>
        <w:t xml:space="preserve">o </w:t>
      </w:r>
      <w:r w:rsidRPr="00EA7FD9">
        <w:rPr>
          <w:rFonts w:ascii="Calibri" w:hAnsi="Calibri" w:cs="Calibri"/>
          <w:lang w:val="hr-HR"/>
        </w:rPr>
        <w:t>njihovo</w:t>
      </w:r>
      <w:r>
        <w:rPr>
          <w:rFonts w:ascii="Calibri" w:hAnsi="Calibri" w:cs="Calibri"/>
          <w:lang w:val="hr-HR"/>
        </w:rPr>
        <w:t>m mogućem</w:t>
      </w:r>
      <w:r w:rsidRPr="00EA7FD9">
        <w:rPr>
          <w:rFonts w:ascii="Calibri" w:hAnsi="Calibri" w:cs="Calibri"/>
          <w:lang w:val="hr-HR"/>
        </w:rPr>
        <w:t xml:space="preserve"> interes</w:t>
      </w:r>
      <w:r>
        <w:rPr>
          <w:rFonts w:ascii="Calibri" w:hAnsi="Calibri" w:cs="Calibri"/>
          <w:lang w:val="hr-HR"/>
        </w:rPr>
        <w:t>u</w:t>
      </w:r>
      <w:r w:rsidRPr="00EA7FD9">
        <w:rPr>
          <w:rFonts w:ascii="Calibri" w:hAnsi="Calibri" w:cs="Calibri"/>
          <w:lang w:val="hr-HR"/>
        </w:rPr>
        <w:t xml:space="preserve"> za ulaganje u </w:t>
      </w:r>
      <w:r>
        <w:rPr>
          <w:rFonts w:ascii="Calibri" w:hAnsi="Calibri" w:cs="Calibri"/>
          <w:lang w:val="hr-HR"/>
        </w:rPr>
        <w:t>fondove za urbani razvoj</w:t>
      </w:r>
      <w:r w:rsidRPr="00EA7FD9">
        <w:rPr>
          <w:rFonts w:ascii="Calibri" w:hAnsi="Calibri" w:cs="Calibri"/>
          <w:lang w:val="hr-HR"/>
        </w:rPr>
        <w:t xml:space="preserve"> te postojanje kapaciteta za njihovo upravljanje. </w:t>
      </w:r>
    </w:p>
    <w:p w14:paraId="0B337F6C" w14:textId="77777777" w:rsidR="00132E7D" w:rsidRDefault="00132E7D" w:rsidP="00F030D3">
      <w:pPr>
        <w:spacing w:before="40" w:after="40" w:line="300" w:lineRule="auto"/>
        <w:rPr>
          <w:rFonts w:ascii="Calibri" w:hAnsi="Calibri" w:cs="Calibri"/>
          <w:lang w:val="hr-HR"/>
        </w:rPr>
      </w:pPr>
    </w:p>
    <w:p w14:paraId="51AC081B" w14:textId="77777777" w:rsidR="00132E7D" w:rsidRPr="00EA7FD9" w:rsidRDefault="00132E7D" w:rsidP="00F030D3">
      <w:pPr>
        <w:keepNext/>
        <w:keepLines/>
        <w:spacing w:before="40" w:after="40" w:line="300" w:lineRule="auto"/>
        <w:rPr>
          <w:rFonts w:ascii="Calibri" w:hAnsi="Calibri" w:cs="Calibri"/>
          <w:lang w:val="hr-HR"/>
        </w:rPr>
      </w:pPr>
      <w:r>
        <w:rPr>
          <w:rFonts w:ascii="Calibri" w:hAnsi="Calibri" w:cs="Calibri"/>
          <w:lang w:val="hr-HR"/>
        </w:rPr>
        <w:lastRenderedPageBreak/>
        <w:t>Predmetno</w:t>
      </w:r>
      <w:r w:rsidRPr="00EA7FD9">
        <w:rPr>
          <w:rFonts w:ascii="Calibri" w:hAnsi="Calibri" w:cs="Calibri"/>
          <w:lang w:val="hr-HR"/>
        </w:rPr>
        <w:t xml:space="preserve"> izvješće obuhvaća:</w:t>
      </w:r>
    </w:p>
    <w:p w14:paraId="4FBFE4A6" w14:textId="77777777" w:rsidR="00132E7D" w:rsidRPr="00EA7FD9" w:rsidRDefault="00132E7D" w:rsidP="00F030D3">
      <w:pPr>
        <w:pStyle w:val="ListParagraph"/>
        <w:keepNext/>
        <w:keepLines/>
        <w:numPr>
          <w:ilvl w:val="0"/>
          <w:numId w:val="41"/>
        </w:numPr>
        <w:spacing w:before="40" w:after="40" w:line="300" w:lineRule="auto"/>
        <w:rPr>
          <w:rFonts w:ascii="Calibri" w:hAnsi="Calibri" w:cs="Calibri"/>
          <w:lang w:val="hr-HR"/>
        </w:rPr>
      </w:pPr>
      <w:r w:rsidRPr="00EA7FD9">
        <w:rPr>
          <w:rFonts w:ascii="Calibri" w:hAnsi="Calibri" w:cs="Calibri"/>
          <w:lang w:val="hr-HR"/>
        </w:rPr>
        <w:t xml:space="preserve">opis financijskog instrumenta JESSICA, njegove svrhe, načina </w:t>
      </w:r>
      <w:r w:rsidRPr="00A154F5">
        <w:rPr>
          <w:rFonts w:ascii="Calibri" w:hAnsi="Calibri" w:cs="Calibri"/>
          <w:lang w:val="hr-HR"/>
        </w:rPr>
        <w:t>funkcioniranja</w:t>
      </w:r>
      <w:r w:rsidRPr="00EA7FD9">
        <w:rPr>
          <w:rFonts w:ascii="Calibri" w:hAnsi="Calibri" w:cs="Calibri"/>
          <w:lang w:val="hr-HR"/>
        </w:rPr>
        <w:t xml:space="preserve"> i povezanih zahtjeva</w:t>
      </w:r>
      <w:r>
        <w:rPr>
          <w:rFonts w:ascii="Calibri" w:hAnsi="Calibri" w:cs="Calibri"/>
          <w:lang w:val="hr-HR"/>
        </w:rPr>
        <w:t>;</w:t>
      </w:r>
      <w:r w:rsidRPr="00EA7FD9">
        <w:rPr>
          <w:rFonts w:ascii="Calibri" w:hAnsi="Calibri" w:cs="Calibri"/>
          <w:lang w:val="hr-HR"/>
        </w:rPr>
        <w:t xml:space="preserve"> </w:t>
      </w:r>
    </w:p>
    <w:p w14:paraId="0FB3A347" w14:textId="77777777" w:rsidR="00132E7D" w:rsidRPr="00EA7FD9" w:rsidRDefault="00132E7D" w:rsidP="00F030D3">
      <w:pPr>
        <w:pStyle w:val="ListParagraph"/>
        <w:numPr>
          <w:ilvl w:val="0"/>
          <w:numId w:val="41"/>
        </w:numPr>
        <w:spacing w:before="40" w:after="40" w:line="300" w:lineRule="auto"/>
        <w:rPr>
          <w:rFonts w:ascii="Calibri" w:hAnsi="Calibri" w:cs="Calibri"/>
          <w:lang w:val="hr-HR"/>
        </w:rPr>
      </w:pPr>
      <w:r w:rsidRPr="00A154F5">
        <w:rPr>
          <w:rFonts w:ascii="Calibri" w:hAnsi="Calibri" w:cs="Calibri"/>
          <w:lang w:val="hr-HR"/>
        </w:rPr>
        <w:t>opseg korištenja</w:t>
      </w:r>
      <w:r w:rsidRPr="00EA7FD9">
        <w:rPr>
          <w:rFonts w:ascii="Calibri" w:hAnsi="Calibri" w:cs="Calibri"/>
          <w:lang w:val="hr-HR"/>
        </w:rPr>
        <w:t xml:space="preserve"> </w:t>
      </w:r>
      <w:r>
        <w:rPr>
          <w:rFonts w:ascii="Calibri" w:hAnsi="Calibri" w:cs="Calibri"/>
          <w:lang w:val="hr-HR"/>
        </w:rPr>
        <w:t xml:space="preserve">instrumenta </w:t>
      </w:r>
      <w:r w:rsidRPr="00EA7FD9">
        <w:rPr>
          <w:rFonts w:ascii="Calibri" w:hAnsi="Calibri" w:cs="Calibri"/>
          <w:lang w:val="hr-HR"/>
        </w:rPr>
        <w:t xml:space="preserve">JESSICA u razdoblju 2007.-2013. i iskustva s njegovom provedbom;  </w:t>
      </w:r>
    </w:p>
    <w:p w14:paraId="798B8EA4" w14:textId="1946DDF0" w:rsidR="00132E7D" w:rsidRPr="00EA7FD9" w:rsidRDefault="00132E7D" w:rsidP="00F030D3">
      <w:pPr>
        <w:pStyle w:val="ListParagraph"/>
        <w:numPr>
          <w:ilvl w:val="0"/>
          <w:numId w:val="41"/>
        </w:numPr>
        <w:spacing w:before="40" w:after="40" w:line="300" w:lineRule="auto"/>
        <w:rPr>
          <w:rFonts w:ascii="Calibri" w:hAnsi="Calibri" w:cs="Calibri"/>
          <w:lang w:val="hr-HR"/>
        </w:rPr>
      </w:pPr>
      <w:r w:rsidRPr="00EA7FD9">
        <w:rPr>
          <w:rFonts w:ascii="Calibri" w:hAnsi="Calibri" w:cs="Calibri"/>
          <w:lang w:val="hr-HR"/>
        </w:rPr>
        <w:t xml:space="preserve">ocjenu tržišta, financijskih i administrativnih </w:t>
      </w:r>
      <w:r>
        <w:rPr>
          <w:rFonts w:ascii="Calibri" w:hAnsi="Calibri" w:cs="Calibri"/>
          <w:lang w:val="hr-HR"/>
        </w:rPr>
        <w:t>uvjeta</w:t>
      </w:r>
      <w:r w:rsidRPr="00EA7FD9">
        <w:rPr>
          <w:rFonts w:ascii="Calibri" w:hAnsi="Calibri" w:cs="Calibri"/>
          <w:lang w:val="hr-HR"/>
        </w:rPr>
        <w:t xml:space="preserve"> u Hrvatskoj</w:t>
      </w:r>
      <w:r>
        <w:rPr>
          <w:rFonts w:ascii="Calibri" w:hAnsi="Calibri" w:cs="Calibri"/>
          <w:lang w:val="hr-HR"/>
        </w:rPr>
        <w:t xml:space="preserve"> koji su</w:t>
      </w:r>
      <w:r w:rsidRPr="00EA7FD9">
        <w:rPr>
          <w:rFonts w:ascii="Calibri" w:hAnsi="Calibri" w:cs="Calibri"/>
          <w:lang w:val="hr-HR"/>
        </w:rPr>
        <w:t xml:space="preserve"> </w:t>
      </w:r>
      <w:r>
        <w:rPr>
          <w:rFonts w:ascii="Calibri" w:hAnsi="Calibri" w:cs="Calibri"/>
          <w:lang w:val="hr-HR"/>
        </w:rPr>
        <w:t>relevantni za</w:t>
      </w:r>
      <w:r w:rsidRPr="00EA7FD9">
        <w:rPr>
          <w:rFonts w:ascii="Calibri" w:hAnsi="Calibri" w:cs="Calibri"/>
          <w:lang w:val="hr-HR"/>
        </w:rPr>
        <w:t xml:space="preserve"> izvedivost provedbe instrumenata tipa JESSICA u razdoblju 20</w:t>
      </w:r>
      <w:r>
        <w:rPr>
          <w:rFonts w:ascii="Calibri" w:hAnsi="Calibri" w:cs="Calibri"/>
          <w:lang w:val="hr-HR"/>
        </w:rPr>
        <w:t>1</w:t>
      </w:r>
      <w:r w:rsidRPr="00EA7FD9">
        <w:rPr>
          <w:rFonts w:ascii="Calibri" w:hAnsi="Calibri" w:cs="Calibri"/>
          <w:lang w:val="hr-HR"/>
        </w:rPr>
        <w:t>4.-2020.</w:t>
      </w:r>
      <w:r>
        <w:rPr>
          <w:rFonts w:ascii="Calibri" w:hAnsi="Calibri" w:cs="Calibri"/>
          <w:lang w:val="hr-HR"/>
        </w:rPr>
        <w:t>;</w:t>
      </w:r>
    </w:p>
    <w:p w14:paraId="79EC1E17" w14:textId="4EBCF89C" w:rsidR="00132E7D" w:rsidRPr="00EA7FD9" w:rsidRDefault="00132E7D" w:rsidP="00F030D3">
      <w:pPr>
        <w:pStyle w:val="ListParagraph"/>
        <w:numPr>
          <w:ilvl w:val="0"/>
          <w:numId w:val="41"/>
        </w:numPr>
        <w:spacing w:before="40" w:after="40" w:line="300" w:lineRule="auto"/>
        <w:rPr>
          <w:rFonts w:ascii="Calibri" w:hAnsi="Calibri" w:cs="Calibri"/>
          <w:lang w:val="hr-HR"/>
        </w:rPr>
      </w:pPr>
      <w:r w:rsidRPr="00EA7FD9">
        <w:rPr>
          <w:rFonts w:ascii="Calibri" w:hAnsi="Calibri" w:cs="Calibri"/>
          <w:lang w:val="hr-HR"/>
        </w:rPr>
        <w:t>razmatranje financijskih instrumenata kojima se promiču ulaganja u energetsku učinkovitost i obnovljive izvore energije</w:t>
      </w:r>
      <w:r>
        <w:rPr>
          <w:rFonts w:ascii="Calibri" w:hAnsi="Calibri" w:cs="Calibri"/>
          <w:lang w:val="hr-HR"/>
        </w:rPr>
        <w:t>;</w:t>
      </w:r>
    </w:p>
    <w:p w14:paraId="4C6C5BE8" w14:textId="429A49E5" w:rsidR="00132E7D" w:rsidRPr="00EA7FD9" w:rsidRDefault="00132E7D" w:rsidP="009E5C6A">
      <w:pPr>
        <w:pStyle w:val="ListParagraph"/>
        <w:numPr>
          <w:ilvl w:val="0"/>
          <w:numId w:val="41"/>
        </w:numPr>
        <w:spacing w:before="40" w:after="40" w:line="300" w:lineRule="auto"/>
        <w:rPr>
          <w:lang w:val="hr-HR"/>
        </w:rPr>
      </w:pPr>
      <w:r w:rsidRPr="006F4187">
        <w:rPr>
          <w:rFonts w:ascii="Calibri" w:hAnsi="Calibri" w:cs="Calibri"/>
          <w:lang w:val="hr-HR"/>
        </w:rPr>
        <w:t>zaključke i preporuke za tijela javne vlasti</w:t>
      </w:r>
      <w:r>
        <w:rPr>
          <w:rFonts w:ascii="Calibri" w:hAnsi="Calibri" w:cs="Calibri"/>
          <w:lang w:val="hr-HR"/>
        </w:rPr>
        <w:t>.</w:t>
      </w:r>
    </w:p>
    <w:p w14:paraId="740EB6B5" w14:textId="77777777" w:rsidR="00132E7D" w:rsidRPr="00EA7FD9" w:rsidRDefault="00132E7D" w:rsidP="00F030D3">
      <w:pPr>
        <w:spacing w:before="40" w:after="40" w:line="300" w:lineRule="auto"/>
        <w:rPr>
          <w:rFonts w:ascii="Calibri" w:hAnsi="Calibri" w:cs="Calibri"/>
          <w:lang w:val="hr-HR"/>
        </w:rPr>
      </w:pPr>
      <w:r w:rsidRPr="00EA7FD9">
        <w:rPr>
          <w:rFonts w:ascii="Calibri" w:hAnsi="Calibri" w:cs="Calibri"/>
          <w:b/>
          <w:bCs/>
          <w:sz w:val="28"/>
          <w:szCs w:val="28"/>
          <w:lang w:val="hr-HR"/>
        </w:rPr>
        <w:br w:type="page"/>
      </w:r>
    </w:p>
    <w:p w14:paraId="73843F61" w14:textId="77777777" w:rsidR="00132E7D" w:rsidRPr="00EA7FD9" w:rsidRDefault="00132E7D" w:rsidP="00F030D3">
      <w:pPr>
        <w:pStyle w:val="14-Heading1"/>
        <w:spacing w:before="40" w:after="40" w:line="300" w:lineRule="auto"/>
        <w:rPr>
          <w:lang w:val="hr-HR"/>
        </w:rPr>
      </w:pPr>
      <w:bookmarkStart w:id="2" w:name="_Toc394052269"/>
      <w:r w:rsidRPr="00EA7FD9">
        <w:rPr>
          <w:lang w:val="hr-HR"/>
        </w:rPr>
        <w:lastRenderedPageBreak/>
        <w:t>2. Financijski instrument JESSICA</w:t>
      </w:r>
      <w:bookmarkEnd w:id="2"/>
    </w:p>
    <w:p w14:paraId="33804F5F" w14:textId="77777777" w:rsidR="00132E7D" w:rsidRPr="00EA7FD9" w:rsidRDefault="00132E7D" w:rsidP="00F030D3">
      <w:pPr>
        <w:spacing w:before="40" w:after="40" w:line="300" w:lineRule="auto"/>
        <w:rPr>
          <w:rFonts w:ascii="Calibri" w:hAnsi="Calibri" w:cs="Calibri"/>
          <w:lang w:val="hr-HR"/>
        </w:rPr>
      </w:pPr>
      <w:r w:rsidRPr="00EA7FD9">
        <w:rPr>
          <w:rFonts w:ascii="Calibri" w:hAnsi="Calibri" w:cs="Calibri"/>
          <w:lang w:val="hr-HR"/>
        </w:rPr>
        <w:t xml:space="preserve">Inicijativa JESSICA zajednički je pothvat Europske investicijske banke (EIB), Europske komisije i </w:t>
      </w:r>
      <w:r>
        <w:rPr>
          <w:rFonts w:ascii="Calibri" w:hAnsi="Calibri" w:cs="Calibri"/>
          <w:lang w:val="hr-HR"/>
        </w:rPr>
        <w:t>Razvojne banke Vijeća Europe</w:t>
      </w:r>
      <w:r w:rsidRPr="00EA7FD9">
        <w:rPr>
          <w:rFonts w:ascii="Calibri" w:hAnsi="Calibri" w:cs="Calibri"/>
          <w:lang w:val="hr-HR"/>
        </w:rPr>
        <w:t xml:space="preserve">, </w:t>
      </w:r>
      <w:r>
        <w:rPr>
          <w:rFonts w:ascii="Calibri" w:hAnsi="Calibri" w:cs="Calibri"/>
          <w:lang w:val="hr-HR"/>
        </w:rPr>
        <w:t>čiji je cilj pružanje</w:t>
      </w:r>
      <w:r w:rsidRPr="00EA7FD9">
        <w:rPr>
          <w:rFonts w:ascii="Calibri" w:hAnsi="Calibri" w:cs="Calibri"/>
          <w:lang w:val="hr-HR"/>
        </w:rPr>
        <w:t xml:space="preserve"> troškovno učinkovitije metode u usporedbi s tradicionalnim pristupom </w:t>
      </w:r>
      <w:r>
        <w:rPr>
          <w:rFonts w:ascii="Calibri" w:hAnsi="Calibri" w:cs="Calibri"/>
          <w:lang w:val="hr-HR"/>
        </w:rPr>
        <w:t xml:space="preserve">koji se temelji </w:t>
      </w:r>
      <w:r w:rsidRPr="00EA7FD9">
        <w:rPr>
          <w:rFonts w:ascii="Calibri" w:hAnsi="Calibri" w:cs="Calibri"/>
          <w:lang w:val="hr-HR"/>
        </w:rPr>
        <w:t xml:space="preserve">na </w:t>
      </w:r>
      <w:r w:rsidRPr="00A66C10">
        <w:rPr>
          <w:rFonts w:ascii="Calibri" w:hAnsi="Calibri" w:cs="Calibri"/>
          <w:lang w:val="hr-HR"/>
        </w:rPr>
        <w:t>bespovratnim sredstvima</w:t>
      </w:r>
      <w:r w:rsidRPr="00EA7FD9">
        <w:rPr>
          <w:rFonts w:ascii="Calibri" w:hAnsi="Calibri" w:cs="Calibri"/>
          <w:lang w:val="hr-HR"/>
        </w:rPr>
        <w:t xml:space="preserve"> za fin</w:t>
      </w:r>
      <w:r>
        <w:rPr>
          <w:rFonts w:ascii="Calibri" w:hAnsi="Calibri" w:cs="Calibri"/>
          <w:lang w:val="hr-HR"/>
        </w:rPr>
        <w:t>a</w:t>
      </w:r>
      <w:r w:rsidRPr="00EA7FD9">
        <w:rPr>
          <w:rFonts w:ascii="Calibri" w:hAnsi="Calibri" w:cs="Calibri"/>
          <w:lang w:val="hr-HR"/>
        </w:rPr>
        <w:t>nciranje ulaganja na području urbanog razvoja.</w:t>
      </w:r>
    </w:p>
    <w:p w14:paraId="5C71AEF9" w14:textId="77777777" w:rsidR="00132E7D" w:rsidRPr="00EA7FD9" w:rsidRDefault="00132E7D" w:rsidP="00F030D3">
      <w:pPr>
        <w:spacing w:before="40" w:after="40" w:line="300" w:lineRule="auto"/>
        <w:rPr>
          <w:rFonts w:ascii="Calibri" w:hAnsi="Calibri" w:cs="Calibri"/>
          <w:lang w:val="hr-HR"/>
        </w:rPr>
      </w:pPr>
    </w:p>
    <w:p w14:paraId="105280E5" w14:textId="77777777" w:rsidR="00132E7D" w:rsidRPr="00EA7FD9" w:rsidRDefault="00132E7D" w:rsidP="00F030D3">
      <w:pPr>
        <w:spacing w:before="40" w:after="40" w:line="300" w:lineRule="auto"/>
        <w:rPr>
          <w:rFonts w:ascii="Calibri" w:hAnsi="Calibri" w:cs="Calibri"/>
          <w:b/>
          <w:bCs/>
          <w:i/>
          <w:iCs/>
          <w:lang w:val="hr-HR"/>
        </w:rPr>
      </w:pPr>
      <w:r w:rsidRPr="00EA7FD9">
        <w:rPr>
          <w:rFonts w:ascii="Calibri" w:hAnsi="Calibri" w:cs="Calibri"/>
          <w:b/>
          <w:bCs/>
          <w:i/>
          <w:iCs/>
          <w:lang w:val="hr-HR"/>
        </w:rPr>
        <w:t>U koju se svrhu JESSICA može koristiti?</w:t>
      </w:r>
    </w:p>
    <w:p w14:paraId="48277D06" w14:textId="77777777" w:rsidR="00132E7D" w:rsidRPr="00EA7FD9" w:rsidRDefault="00132E7D" w:rsidP="00F030D3">
      <w:pPr>
        <w:spacing w:before="40" w:after="40" w:line="300" w:lineRule="auto"/>
        <w:rPr>
          <w:rFonts w:ascii="Calibri" w:hAnsi="Calibri" w:cs="Calibri"/>
          <w:lang w:val="hr-HR"/>
        </w:rPr>
      </w:pPr>
      <w:r w:rsidRPr="00EA7FD9">
        <w:rPr>
          <w:rFonts w:ascii="Calibri" w:hAnsi="Calibri" w:cs="Calibri"/>
          <w:lang w:val="hr-HR"/>
        </w:rPr>
        <w:t>JESSICA promiče održivi urbani razvoj podupiranjem projekata</w:t>
      </w:r>
      <w:r>
        <w:rPr>
          <w:rFonts w:ascii="Calibri" w:hAnsi="Calibri" w:cs="Calibri"/>
          <w:lang w:val="hr-HR"/>
        </w:rPr>
        <w:t xml:space="preserve"> u sljedećim područjima</w:t>
      </w:r>
      <w:r w:rsidRPr="00EA7FD9">
        <w:rPr>
          <w:rFonts w:ascii="Calibri" w:hAnsi="Calibri" w:cs="Calibri"/>
          <w:lang w:val="hr-HR"/>
        </w:rPr>
        <w:t>:</w:t>
      </w:r>
    </w:p>
    <w:p w14:paraId="2DF432FC" w14:textId="77777777" w:rsidR="00132E7D" w:rsidRPr="00EA7FD9" w:rsidRDefault="00132E7D" w:rsidP="00F030D3">
      <w:pPr>
        <w:numPr>
          <w:ilvl w:val="0"/>
          <w:numId w:val="10"/>
        </w:numPr>
        <w:tabs>
          <w:tab w:val="num" w:pos="720"/>
        </w:tabs>
        <w:spacing w:before="40" w:after="40" w:line="300" w:lineRule="auto"/>
        <w:ind w:left="357" w:hanging="357"/>
        <w:rPr>
          <w:rFonts w:ascii="Calibri" w:hAnsi="Calibri" w:cs="Calibri"/>
          <w:lang w:val="hr-HR"/>
        </w:rPr>
      </w:pPr>
      <w:r w:rsidRPr="00EA7FD9">
        <w:rPr>
          <w:rFonts w:ascii="Calibri" w:hAnsi="Calibri" w:cs="Calibri"/>
          <w:lang w:val="hr-HR"/>
        </w:rPr>
        <w:t>urban</w:t>
      </w:r>
      <w:r>
        <w:rPr>
          <w:rFonts w:ascii="Calibri" w:hAnsi="Calibri" w:cs="Calibri"/>
          <w:lang w:val="hr-HR"/>
        </w:rPr>
        <w:t>a</w:t>
      </w:r>
      <w:r w:rsidRPr="00EA7FD9">
        <w:rPr>
          <w:rFonts w:ascii="Calibri" w:hAnsi="Calibri" w:cs="Calibri"/>
          <w:lang w:val="hr-HR"/>
        </w:rPr>
        <w:t xml:space="preserve"> infrastruk</w:t>
      </w:r>
      <w:r>
        <w:rPr>
          <w:rFonts w:ascii="Calibri" w:hAnsi="Calibri" w:cs="Calibri"/>
          <w:lang w:val="hr-HR"/>
        </w:rPr>
        <w:t>tura</w:t>
      </w:r>
      <w:r w:rsidRPr="00EA7FD9">
        <w:rPr>
          <w:rFonts w:ascii="Calibri" w:hAnsi="Calibri" w:cs="Calibri"/>
          <w:lang w:val="hr-HR"/>
        </w:rPr>
        <w:t xml:space="preserve"> – uključujući promet, vodoopskrbu</w:t>
      </w:r>
      <w:r w:rsidRPr="00FD5561">
        <w:rPr>
          <w:rFonts w:ascii="Calibri" w:hAnsi="Calibri" w:cs="Calibri"/>
          <w:lang w:val="hr-HR"/>
        </w:rPr>
        <w:t>/otpadne vode,</w:t>
      </w:r>
      <w:r w:rsidRPr="00EA7FD9">
        <w:rPr>
          <w:rFonts w:ascii="Calibri" w:hAnsi="Calibri" w:cs="Calibri"/>
          <w:lang w:val="hr-HR"/>
        </w:rPr>
        <w:t xml:space="preserve"> energiju</w:t>
      </w:r>
      <w:r>
        <w:rPr>
          <w:rFonts w:ascii="Calibri" w:hAnsi="Calibri" w:cs="Calibri"/>
          <w:lang w:val="hr-HR"/>
        </w:rPr>
        <w:t>;</w:t>
      </w:r>
    </w:p>
    <w:p w14:paraId="0C54C54B" w14:textId="77777777" w:rsidR="00132E7D" w:rsidRPr="00EA7FD9" w:rsidRDefault="00132E7D" w:rsidP="00F030D3">
      <w:pPr>
        <w:numPr>
          <w:ilvl w:val="0"/>
          <w:numId w:val="10"/>
        </w:numPr>
        <w:tabs>
          <w:tab w:val="num" w:pos="720"/>
        </w:tabs>
        <w:spacing w:before="40" w:after="40" w:line="300" w:lineRule="auto"/>
        <w:ind w:left="357" w:hanging="357"/>
        <w:rPr>
          <w:rFonts w:ascii="Calibri" w:hAnsi="Calibri" w:cs="Calibri"/>
          <w:lang w:val="hr-HR"/>
        </w:rPr>
      </w:pPr>
      <w:r>
        <w:rPr>
          <w:rFonts w:ascii="Calibri" w:hAnsi="Calibri" w:cs="Calibri"/>
          <w:lang w:val="hr-HR"/>
        </w:rPr>
        <w:t>povijesno-kulturna baština ili kulturne znamenitosti</w:t>
      </w:r>
      <w:r w:rsidRPr="00EA7FD9">
        <w:rPr>
          <w:rFonts w:ascii="Calibri" w:hAnsi="Calibri" w:cs="Calibri"/>
          <w:lang w:val="hr-HR"/>
        </w:rPr>
        <w:t xml:space="preserve"> – za turi</w:t>
      </w:r>
      <w:r>
        <w:rPr>
          <w:rFonts w:ascii="Calibri" w:hAnsi="Calibri" w:cs="Calibri"/>
          <w:lang w:val="hr-HR"/>
        </w:rPr>
        <w:t>zam</w:t>
      </w:r>
      <w:r w:rsidRPr="00EA7FD9">
        <w:rPr>
          <w:rFonts w:ascii="Calibri" w:hAnsi="Calibri" w:cs="Calibri"/>
          <w:lang w:val="hr-HR"/>
        </w:rPr>
        <w:t xml:space="preserve"> ili druge održive namjene</w:t>
      </w:r>
      <w:r>
        <w:rPr>
          <w:rFonts w:ascii="Calibri" w:hAnsi="Calibri" w:cs="Calibri"/>
          <w:lang w:val="hr-HR"/>
        </w:rPr>
        <w:t>;</w:t>
      </w:r>
    </w:p>
    <w:p w14:paraId="2B217642" w14:textId="77777777" w:rsidR="00132E7D" w:rsidRPr="00EA7FD9" w:rsidRDefault="00132E7D" w:rsidP="00F030D3">
      <w:pPr>
        <w:numPr>
          <w:ilvl w:val="0"/>
          <w:numId w:val="10"/>
        </w:numPr>
        <w:tabs>
          <w:tab w:val="num" w:pos="720"/>
        </w:tabs>
        <w:spacing w:before="40" w:after="40" w:line="300" w:lineRule="auto"/>
        <w:ind w:left="357" w:hanging="357"/>
        <w:rPr>
          <w:rFonts w:ascii="Calibri" w:hAnsi="Calibri" w:cs="Calibri"/>
          <w:lang w:val="hr-HR"/>
        </w:rPr>
      </w:pPr>
      <w:r>
        <w:rPr>
          <w:rFonts w:ascii="Calibri" w:hAnsi="Calibri" w:cs="Calibri"/>
          <w:lang w:val="hr-HR"/>
        </w:rPr>
        <w:t>ponovni razvoj zapuštenih/neiskorištenih</w:t>
      </w:r>
      <w:r w:rsidRPr="00EA7FD9">
        <w:rPr>
          <w:rFonts w:ascii="Calibri" w:hAnsi="Calibri" w:cs="Calibri"/>
          <w:lang w:val="hr-HR"/>
        </w:rPr>
        <w:t xml:space="preserve"> </w:t>
      </w:r>
      <w:r>
        <w:rPr>
          <w:rFonts w:ascii="Calibri" w:hAnsi="Calibri" w:cs="Calibri"/>
          <w:lang w:val="hr-HR"/>
        </w:rPr>
        <w:t>(</w:t>
      </w:r>
      <w:r w:rsidRPr="00EA7FD9">
        <w:rPr>
          <w:rFonts w:ascii="Calibri" w:hAnsi="Calibri" w:cs="Calibri"/>
          <w:lang w:val="hr-HR"/>
        </w:rPr>
        <w:t>‘</w:t>
      </w:r>
      <w:r w:rsidRPr="00EA7FD9">
        <w:rPr>
          <w:rFonts w:ascii="Calibri" w:hAnsi="Calibri" w:cs="Calibri"/>
          <w:i/>
          <w:iCs/>
          <w:lang w:val="hr-HR"/>
        </w:rPr>
        <w:t>brownfield’</w:t>
      </w:r>
      <w:r>
        <w:rPr>
          <w:rFonts w:ascii="Calibri" w:hAnsi="Calibri" w:cs="Calibri"/>
          <w:i/>
          <w:iCs/>
          <w:lang w:val="hr-HR"/>
        </w:rPr>
        <w:t>)</w:t>
      </w:r>
      <w:r w:rsidRPr="00EA7FD9">
        <w:rPr>
          <w:rFonts w:ascii="Calibri" w:hAnsi="Calibri" w:cs="Calibri"/>
          <w:lang w:val="hr-HR"/>
        </w:rPr>
        <w:t xml:space="preserve"> </w:t>
      </w:r>
      <w:r>
        <w:rPr>
          <w:rFonts w:ascii="Calibri" w:hAnsi="Calibri" w:cs="Calibri"/>
          <w:lang w:val="hr-HR"/>
        </w:rPr>
        <w:t>zemljišta</w:t>
      </w:r>
      <w:r w:rsidRPr="00EA7FD9">
        <w:rPr>
          <w:rFonts w:ascii="Calibri" w:hAnsi="Calibri" w:cs="Calibri"/>
          <w:lang w:val="hr-HR"/>
        </w:rPr>
        <w:t xml:space="preserve"> – uključujući </w:t>
      </w:r>
      <w:r>
        <w:rPr>
          <w:rFonts w:ascii="Calibri" w:hAnsi="Calibri" w:cs="Calibri"/>
          <w:lang w:val="hr-HR"/>
        </w:rPr>
        <w:t xml:space="preserve">njihovu </w:t>
      </w:r>
      <w:r w:rsidRPr="00EA7FD9">
        <w:rPr>
          <w:rFonts w:ascii="Calibri" w:hAnsi="Calibri" w:cs="Calibri"/>
          <w:lang w:val="hr-HR"/>
        </w:rPr>
        <w:t>sanaciju i dekontaminaciju</w:t>
      </w:r>
      <w:r>
        <w:rPr>
          <w:rFonts w:ascii="Calibri" w:hAnsi="Calibri" w:cs="Calibri"/>
          <w:lang w:val="hr-HR"/>
        </w:rPr>
        <w:t>;</w:t>
      </w:r>
    </w:p>
    <w:p w14:paraId="3DC29BAB" w14:textId="77777777" w:rsidR="00132E7D" w:rsidRPr="00EA7FD9" w:rsidRDefault="00132E7D" w:rsidP="00F030D3">
      <w:pPr>
        <w:numPr>
          <w:ilvl w:val="0"/>
          <w:numId w:val="10"/>
        </w:numPr>
        <w:tabs>
          <w:tab w:val="num" w:pos="720"/>
        </w:tabs>
        <w:spacing w:before="40" w:after="40" w:line="300" w:lineRule="auto"/>
        <w:ind w:left="357" w:hanging="357"/>
        <w:rPr>
          <w:rFonts w:ascii="Calibri" w:hAnsi="Calibri" w:cs="Calibri"/>
          <w:lang w:val="hr-HR"/>
        </w:rPr>
      </w:pPr>
      <w:r>
        <w:rPr>
          <w:rFonts w:ascii="Calibri" w:hAnsi="Calibri" w:cs="Calibri"/>
          <w:lang w:val="hr-HR"/>
        </w:rPr>
        <w:t xml:space="preserve">stvaranje novog gospodarskog prostora za </w:t>
      </w:r>
      <w:r w:rsidRPr="00EA7FD9">
        <w:rPr>
          <w:rFonts w:ascii="Calibri" w:hAnsi="Calibri" w:cs="Calibri"/>
          <w:lang w:val="hr-HR"/>
        </w:rPr>
        <w:t>ma</w:t>
      </w:r>
      <w:r>
        <w:rPr>
          <w:rFonts w:ascii="Calibri" w:hAnsi="Calibri" w:cs="Calibri"/>
          <w:lang w:val="hr-HR"/>
        </w:rPr>
        <w:t>la i srednja poduzeća te sektor</w:t>
      </w:r>
      <w:r w:rsidRPr="00EA7FD9">
        <w:rPr>
          <w:rFonts w:ascii="Calibri" w:hAnsi="Calibri" w:cs="Calibri"/>
          <w:lang w:val="hr-HR"/>
        </w:rPr>
        <w:t xml:space="preserve"> IT-a i/ili </w:t>
      </w:r>
      <w:r>
        <w:rPr>
          <w:rFonts w:ascii="Calibri" w:hAnsi="Calibri" w:cs="Calibri"/>
          <w:lang w:val="hr-HR"/>
        </w:rPr>
        <w:t xml:space="preserve">sektor </w:t>
      </w:r>
      <w:r w:rsidRPr="00EA7FD9">
        <w:rPr>
          <w:rFonts w:ascii="Calibri" w:hAnsi="Calibri" w:cs="Calibri"/>
          <w:lang w:val="hr-HR"/>
        </w:rPr>
        <w:t>istraživanja i razvoja</w:t>
      </w:r>
      <w:r>
        <w:rPr>
          <w:rFonts w:ascii="Calibri" w:hAnsi="Calibri" w:cs="Calibri"/>
          <w:lang w:val="hr-HR"/>
        </w:rPr>
        <w:t>;</w:t>
      </w:r>
    </w:p>
    <w:p w14:paraId="6DDAB2DB" w14:textId="77777777" w:rsidR="00132E7D" w:rsidRDefault="00132E7D" w:rsidP="00F030D3">
      <w:pPr>
        <w:numPr>
          <w:ilvl w:val="0"/>
          <w:numId w:val="10"/>
        </w:numPr>
        <w:tabs>
          <w:tab w:val="num" w:pos="720"/>
        </w:tabs>
        <w:spacing w:before="40" w:after="40" w:line="300" w:lineRule="auto"/>
        <w:ind w:left="357" w:hanging="357"/>
        <w:rPr>
          <w:rFonts w:ascii="Calibri" w:hAnsi="Calibri" w:cs="Calibri"/>
          <w:lang w:val="hr-HR"/>
        </w:rPr>
      </w:pPr>
      <w:r w:rsidRPr="0098752A">
        <w:rPr>
          <w:rFonts w:ascii="Calibri" w:hAnsi="Calibri" w:cs="Calibri"/>
          <w:lang w:val="hr-HR"/>
        </w:rPr>
        <w:t>sveučilišni objekti – objekti za medicinske, biotehnološke i ostale specijalizirane namjene</w:t>
      </w:r>
      <w:r>
        <w:rPr>
          <w:rFonts w:ascii="Calibri" w:hAnsi="Calibri" w:cs="Calibri"/>
          <w:lang w:val="hr-HR"/>
        </w:rPr>
        <w:t>;</w:t>
      </w:r>
    </w:p>
    <w:p w14:paraId="7A0C5D30" w14:textId="77777777" w:rsidR="00132E7D" w:rsidRPr="0098752A" w:rsidRDefault="00132E7D" w:rsidP="00F030D3">
      <w:pPr>
        <w:numPr>
          <w:ilvl w:val="0"/>
          <w:numId w:val="10"/>
        </w:numPr>
        <w:tabs>
          <w:tab w:val="num" w:pos="720"/>
        </w:tabs>
        <w:spacing w:before="40" w:after="40" w:line="300" w:lineRule="auto"/>
        <w:ind w:left="357" w:hanging="357"/>
        <w:rPr>
          <w:rFonts w:ascii="Calibri" w:hAnsi="Calibri" w:cs="Calibri"/>
          <w:lang w:val="hr-HR"/>
        </w:rPr>
      </w:pPr>
      <w:r>
        <w:rPr>
          <w:rFonts w:ascii="Calibri" w:hAnsi="Calibri" w:cs="Calibri"/>
          <w:lang w:val="hr-HR"/>
        </w:rPr>
        <w:t>poboljšanja na području energetske učinkovitosti zgrada</w:t>
      </w:r>
      <w:r w:rsidRPr="0098752A">
        <w:rPr>
          <w:rFonts w:ascii="Calibri" w:hAnsi="Calibri" w:cs="Calibri"/>
          <w:lang w:val="hr-HR"/>
        </w:rPr>
        <w:t xml:space="preserve"> – </w:t>
      </w:r>
      <w:r>
        <w:rPr>
          <w:rFonts w:ascii="Calibri" w:hAnsi="Calibri" w:cs="Calibri"/>
          <w:lang w:val="hr-HR"/>
        </w:rPr>
        <w:t>komercijalnih i stambenih;</w:t>
      </w:r>
    </w:p>
    <w:p w14:paraId="475FEE5A" w14:textId="77777777" w:rsidR="00132E7D" w:rsidRPr="00EA7FD9" w:rsidRDefault="00132E7D" w:rsidP="00F030D3">
      <w:pPr>
        <w:numPr>
          <w:ilvl w:val="0"/>
          <w:numId w:val="10"/>
        </w:numPr>
        <w:tabs>
          <w:tab w:val="num" w:pos="720"/>
        </w:tabs>
        <w:spacing w:before="40" w:after="40" w:line="300" w:lineRule="auto"/>
        <w:ind w:left="357" w:hanging="357"/>
        <w:rPr>
          <w:rFonts w:ascii="Calibri" w:hAnsi="Calibri" w:cs="Calibri"/>
          <w:lang w:val="hr-HR"/>
        </w:rPr>
      </w:pPr>
      <w:r>
        <w:rPr>
          <w:rFonts w:ascii="Calibri" w:hAnsi="Calibri" w:cs="Calibri"/>
          <w:lang w:val="hr-HR"/>
        </w:rPr>
        <w:t>proizvodnja</w:t>
      </w:r>
      <w:r w:rsidRPr="00EA7FD9">
        <w:rPr>
          <w:rFonts w:ascii="Calibri" w:hAnsi="Calibri" w:cs="Calibri"/>
          <w:lang w:val="hr-HR"/>
        </w:rPr>
        <w:t xml:space="preserve"> energije iz obnovljivih izvora</w:t>
      </w:r>
      <w:r>
        <w:rPr>
          <w:rFonts w:ascii="Calibri" w:hAnsi="Calibri" w:cs="Calibri"/>
          <w:lang w:val="hr-HR"/>
        </w:rPr>
        <w:t>.</w:t>
      </w:r>
    </w:p>
    <w:p w14:paraId="4647CC89" w14:textId="77777777" w:rsidR="00132E7D" w:rsidRPr="00EA7FD9" w:rsidRDefault="00132E7D" w:rsidP="00F030D3">
      <w:pPr>
        <w:spacing w:before="40" w:after="40" w:line="300" w:lineRule="auto"/>
        <w:rPr>
          <w:rFonts w:ascii="Calibri" w:hAnsi="Calibri" w:cs="Calibri"/>
          <w:lang w:val="hr-HR"/>
        </w:rPr>
      </w:pPr>
      <w:r>
        <w:rPr>
          <w:rFonts w:ascii="Calibri" w:hAnsi="Calibri" w:cs="Calibri"/>
          <w:lang w:val="hr-HR"/>
        </w:rPr>
        <w:t xml:space="preserve">Ključno je </w:t>
      </w:r>
      <w:r w:rsidRPr="00EA7FD9">
        <w:rPr>
          <w:rFonts w:ascii="Calibri" w:hAnsi="Calibri" w:cs="Calibri"/>
          <w:lang w:val="hr-HR"/>
        </w:rPr>
        <w:t xml:space="preserve">da su projekti </w:t>
      </w:r>
      <w:r>
        <w:rPr>
          <w:rFonts w:ascii="Calibri" w:hAnsi="Calibri" w:cs="Calibri"/>
          <w:lang w:val="hr-HR"/>
        </w:rPr>
        <w:t>koji</w:t>
      </w:r>
      <w:r w:rsidRPr="00EA7FD9">
        <w:rPr>
          <w:rFonts w:ascii="Calibri" w:hAnsi="Calibri" w:cs="Calibri"/>
          <w:lang w:val="hr-HR"/>
        </w:rPr>
        <w:t xml:space="preserve"> su u razdoblju od 2007. do 2013. </w:t>
      </w:r>
      <w:r>
        <w:rPr>
          <w:rFonts w:ascii="Calibri" w:hAnsi="Calibri" w:cs="Calibri"/>
          <w:lang w:val="hr-HR"/>
        </w:rPr>
        <w:t>primili potporu iz</w:t>
      </w:r>
      <w:r w:rsidRPr="00EA7FD9">
        <w:rPr>
          <w:rFonts w:ascii="Calibri" w:hAnsi="Calibri" w:cs="Calibri"/>
          <w:lang w:val="hr-HR"/>
        </w:rPr>
        <w:t xml:space="preserve"> JESSICA</w:t>
      </w:r>
      <w:r>
        <w:rPr>
          <w:rFonts w:ascii="Calibri" w:hAnsi="Calibri" w:cs="Calibri"/>
          <w:lang w:val="hr-HR"/>
        </w:rPr>
        <w:t>-e</w:t>
      </w:r>
      <w:r w:rsidRPr="00EA7FD9">
        <w:rPr>
          <w:rFonts w:ascii="Calibri" w:hAnsi="Calibri" w:cs="Calibri"/>
          <w:lang w:val="hr-HR"/>
        </w:rPr>
        <w:t xml:space="preserve"> </w:t>
      </w:r>
      <w:r>
        <w:rPr>
          <w:rFonts w:ascii="Calibri" w:hAnsi="Calibri" w:cs="Calibri"/>
          <w:lang w:val="hr-HR"/>
        </w:rPr>
        <w:t>morali biti dio integrirane strategije održivog urbanog razvoja</w:t>
      </w:r>
      <w:r w:rsidRPr="00EA7FD9">
        <w:rPr>
          <w:rFonts w:ascii="Calibri" w:hAnsi="Calibri" w:cs="Calibri"/>
          <w:lang w:val="hr-HR"/>
        </w:rPr>
        <w:t xml:space="preserve">. Iako postoji jedinstveni okvir za financijske instrumente za razdoblje 2014.-2020. koji se koriste kao potpora održivom urbanom razvoju, </w:t>
      </w:r>
      <w:r>
        <w:rPr>
          <w:rFonts w:ascii="Calibri" w:hAnsi="Calibri" w:cs="Calibri"/>
          <w:lang w:val="hr-HR"/>
        </w:rPr>
        <w:t xml:space="preserve">projekti </w:t>
      </w:r>
      <w:r w:rsidRPr="00FD5561">
        <w:rPr>
          <w:rFonts w:ascii="Calibri" w:hAnsi="Calibri" w:cs="Calibri"/>
          <w:lang w:val="hr-HR"/>
        </w:rPr>
        <w:t xml:space="preserve">će </w:t>
      </w:r>
      <w:r w:rsidRPr="00FD5561">
        <w:rPr>
          <w:rFonts w:ascii="Calibri" w:hAnsi="Calibri" w:cs="Calibri"/>
          <w:i/>
          <w:iCs/>
          <w:lang w:val="hr-HR"/>
        </w:rPr>
        <w:t>de facto</w:t>
      </w:r>
      <w:r w:rsidRPr="00FD5561">
        <w:rPr>
          <w:rFonts w:ascii="Calibri" w:hAnsi="Calibri" w:cs="Calibri"/>
          <w:lang w:val="hr-HR"/>
        </w:rPr>
        <w:t xml:space="preserve"> biti</w:t>
      </w:r>
      <w:r w:rsidRPr="00EA7FD9">
        <w:rPr>
          <w:rFonts w:ascii="Calibri" w:hAnsi="Calibri" w:cs="Calibri"/>
          <w:lang w:val="hr-HR"/>
        </w:rPr>
        <w:t xml:space="preserve"> u kontekstu integriranih strategija potrebnih za OUR. </w:t>
      </w:r>
    </w:p>
    <w:p w14:paraId="4B7E7571" w14:textId="77777777" w:rsidR="00132E7D" w:rsidRPr="00EA7FD9" w:rsidRDefault="00132E7D" w:rsidP="00F030D3">
      <w:pPr>
        <w:spacing w:before="40" w:after="40" w:line="300" w:lineRule="auto"/>
        <w:rPr>
          <w:rFonts w:ascii="Calibri" w:hAnsi="Calibri" w:cs="Calibri"/>
          <w:lang w:val="hr-HR"/>
        </w:rPr>
      </w:pPr>
    </w:p>
    <w:p w14:paraId="4D6C4971" w14:textId="77777777" w:rsidR="00132E7D" w:rsidRPr="00EA7FD9" w:rsidRDefault="00132E7D" w:rsidP="00F030D3">
      <w:pPr>
        <w:spacing w:before="40" w:after="40" w:line="300" w:lineRule="auto"/>
        <w:rPr>
          <w:rFonts w:ascii="Calibri" w:hAnsi="Calibri" w:cs="Calibri"/>
          <w:b/>
          <w:bCs/>
          <w:i/>
          <w:iCs/>
          <w:lang w:val="hr-HR"/>
        </w:rPr>
      </w:pPr>
      <w:r w:rsidRPr="00EA7FD9">
        <w:rPr>
          <w:rFonts w:ascii="Calibri" w:hAnsi="Calibri" w:cs="Calibri"/>
          <w:b/>
          <w:bCs/>
          <w:i/>
          <w:iCs/>
          <w:lang w:val="hr-HR"/>
        </w:rPr>
        <w:t>Na koji način JESSICA funkcionira?</w:t>
      </w:r>
    </w:p>
    <w:p w14:paraId="4E4A4246" w14:textId="77777777" w:rsidR="00132E7D" w:rsidRPr="00EA7FD9" w:rsidRDefault="00132E7D" w:rsidP="00F030D3">
      <w:pPr>
        <w:spacing w:before="40" w:after="40" w:line="300" w:lineRule="auto"/>
        <w:rPr>
          <w:rFonts w:ascii="Calibri" w:hAnsi="Calibri" w:cs="Calibri"/>
          <w:lang w:val="hr-HR"/>
        </w:rPr>
      </w:pPr>
      <w:r>
        <w:rPr>
          <w:rFonts w:ascii="Calibri" w:hAnsi="Calibri" w:cs="Calibri"/>
          <w:lang w:val="hr-HR"/>
        </w:rPr>
        <w:t>Prema</w:t>
      </w:r>
      <w:r w:rsidRPr="00EA7FD9">
        <w:rPr>
          <w:rFonts w:ascii="Calibri" w:hAnsi="Calibri" w:cs="Calibri"/>
          <w:lang w:val="hr-HR"/>
        </w:rPr>
        <w:t xml:space="preserve"> JESSICA</w:t>
      </w:r>
      <w:r>
        <w:rPr>
          <w:rFonts w:ascii="Calibri" w:hAnsi="Calibri" w:cs="Calibri"/>
          <w:lang w:val="hr-HR"/>
        </w:rPr>
        <w:t>-i</w:t>
      </w:r>
      <w:r w:rsidRPr="00EA7FD9">
        <w:rPr>
          <w:rFonts w:ascii="Calibri" w:hAnsi="Calibri" w:cs="Calibri"/>
          <w:lang w:val="hr-HR"/>
        </w:rPr>
        <w:t xml:space="preserve">, </w:t>
      </w:r>
      <w:r>
        <w:rPr>
          <w:rFonts w:ascii="Calibri" w:hAnsi="Calibri" w:cs="Calibri"/>
          <w:lang w:val="hr-HR"/>
        </w:rPr>
        <w:t>sredstva</w:t>
      </w:r>
      <w:r w:rsidRPr="00EA7FD9">
        <w:rPr>
          <w:rFonts w:ascii="Calibri" w:hAnsi="Calibri" w:cs="Calibri"/>
          <w:lang w:val="hr-HR"/>
        </w:rPr>
        <w:t xml:space="preserve"> iz E</w:t>
      </w:r>
      <w:r>
        <w:rPr>
          <w:rFonts w:ascii="Calibri" w:hAnsi="Calibri" w:cs="Calibri"/>
          <w:lang w:val="hr-HR"/>
        </w:rPr>
        <w:t>uropskog fonda za regionalni razvoj</w:t>
      </w:r>
      <w:r w:rsidRPr="00EA7FD9">
        <w:rPr>
          <w:rFonts w:ascii="Calibri" w:hAnsi="Calibri" w:cs="Calibri"/>
          <w:lang w:val="hr-HR"/>
        </w:rPr>
        <w:t xml:space="preserve"> u okviru operativnog programa države članice pridonose uspostavi jednog ili više</w:t>
      </w:r>
      <w:r>
        <w:rPr>
          <w:rFonts w:ascii="Calibri" w:hAnsi="Calibri" w:cs="Calibri"/>
          <w:lang w:val="hr-HR"/>
        </w:rPr>
        <w:t xml:space="preserve"> fondova za urbani razvoj</w:t>
      </w:r>
      <w:r w:rsidRPr="00EA7FD9">
        <w:rPr>
          <w:rFonts w:ascii="Calibri" w:hAnsi="Calibri" w:cs="Calibri"/>
          <w:lang w:val="hr-HR"/>
        </w:rPr>
        <w:t xml:space="preserve">, zajedno s </w:t>
      </w:r>
      <w:r>
        <w:rPr>
          <w:rFonts w:ascii="Calibri" w:hAnsi="Calibri" w:cs="Calibri"/>
          <w:lang w:val="hr-HR"/>
        </w:rPr>
        <w:t>javnim sredstvima</w:t>
      </w:r>
      <w:r w:rsidRPr="00EA7FD9">
        <w:rPr>
          <w:rFonts w:ascii="Calibri" w:hAnsi="Calibri" w:cs="Calibri"/>
          <w:lang w:val="hr-HR"/>
        </w:rPr>
        <w:t xml:space="preserve"> i/ili </w:t>
      </w:r>
      <w:r>
        <w:rPr>
          <w:rFonts w:ascii="Calibri" w:hAnsi="Calibri" w:cs="Calibri"/>
          <w:lang w:val="hr-HR"/>
        </w:rPr>
        <w:t>sredstvima</w:t>
      </w:r>
      <w:r w:rsidRPr="00EA7FD9">
        <w:rPr>
          <w:rFonts w:ascii="Calibri" w:hAnsi="Calibri" w:cs="Calibri"/>
          <w:lang w:val="hr-HR"/>
        </w:rPr>
        <w:t xml:space="preserve"> iz privatnog financijskog sektora (</w:t>
      </w:r>
      <w:r>
        <w:rPr>
          <w:rFonts w:ascii="Calibri" w:hAnsi="Calibri" w:cs="Calibri"/>
          <w:lang w:val="hr-HR"/>
        </w:rPr>
        <w:t>po mogućnosti uključujući i samu</w:t>
      </w:r>
      <w:r w:rsidRPr="00EA7FD9">
        <w:rPr>
          <w:rFonts w:ascii="Calibri" w:hAnsi="Calibri" w:cs="Calibri"/>
          <w:lang w:val="hr-HR"/>
        </w:rPr>
        <w:t xml:space="preserve"> EIB). Iz tih se financijskih instrumenata može ulagati u javno-privatna partnerstva ili </w:t>
      </w:r>
      <w:r>
        <w:rPr>
          <w:rFonts w:ascii="Calibri" w:hAnsi="Calibri" w:cs="Calibri"/>
          <w:lang w:val="hr-HR"/>
        </w:rPr>
        <w:t xml:space="preserve">u </w:t>
      </w:r>
      <w:r w:rsidRPr="00EA7FD9">
        <w:rPr>
          <w:rFonts w:ascii="Calibri" w:hAnsi="Calibri" w:cs="Calibri"/>
          <w:lang w:val="hr-HR"/>
        </w:rPr>
        <w:t xml:space="preserve">druge projekte uključene u integrirani plan </w:t>
      </w:r>
      <w:r>
        <w:rPr>
          <w:rFonts w:ascii="Calibri" w:hAnsi="Calibri" w:cs="Calibri"/>
          <w:lang w:val="hr-HR"/>
        </w:rPr>
        <w:t xml:space="preserve">za </w:t>
      </w:r>
      <w:r w:rsidRPr="00EA7FD9">
        <w:rPr>
          <w:rFonts w:ascii="Calibri" w:hAnsi="Calibri" w:cs="Calibri"/>
          <w:lang w:val="hr-HR"/>
        </w:rPr>
        <w:t>održiv</w:t>
      </w:r>
      <w:r>
        <w:rPr>
          <w:rFonts w:ascii="Calibri" w:hAnsi="Calibri" w:cs="Calibri"/>
          <w:lang w:val="hr-HR"/>
        </w:rPr>
        <w:t>i</w:t>
      </w:r>
      <w:r w:rsidRPr="00EA7FD9">
        <w:rPr>
          <w:rFonts w:ascii="Calibri" w:hAnsi="Calibri" w:cs="Calibri"/>
          <w:lang w:val="hr-HR"/>
        </w:rPr>
        <w:t xml:space="preserve"> urban</w:t>
      </w:r>
      <w:r>
        <w:rPr>
          <w:rFonts w:ascii="Calibri" w:hAnsi="Calibri" w:cs="Calibri"/>
          <w:lang w:val="hr-HR"/>
        </w:rPr>
        <w:t>i razvoj</w:t>
      </w:r>
      <w:r w:rsidRPr="00EA7FD9">
        <w:rPr>
          <w:rFonts w:ascii="Calibri" w:hAnsi="Calibri" w:cs="Calibri"/>
          <w:lang w:val="hr-HR"/>
        </w:rPr>
        <w:t>. Ulaganja mogu biti u obliku:</w:t>
      </w:r>
    </w:p>
    <w:p w14:paraId="11DD698C" w14:textId="77777777" w:rsidR="00132E7D" w:rsidRPr="00EA7FD9" w:rsidRDefault="00132E7D" w:rsidP="00F030D3">
      <w:pPr>
        <w:numPr>
          <w:ilvl w:val="0"/>
          <w:numId w:val="7"/>
        </w:numPr>
        <w:tabs>
          <w:tab w:val="num" w:pos="720"/>
        </w:tabs>
        <w:spacing w:before="40" w:after="40" w:line="300" w:lineRule="auto"/>
        <w:ind w:left="357" w:hanging="357"/>
        <w:rPr>
          <w:rFonts w:ascii="Calibri" w:hAnsi="Calibri" w:cs="Calibri"/>
          <w:lang w:val="hr-HR"/>
        </w:rPr>
      </w:pPr>
      <w:r w:rsidRPr="00EA7FD9">
        <w:rPr>
          <w:rFonts w:ascii="Calibri" w:hAnsi="Calibri" w:cs="Calibri"/>
          <w:lang w:val="hr-HR"/>
        </w:rPr>
        <w:t>zajmova</w:t>
      </w:r>
    </w:p>
    <w:p w14:paraId="7626EBD5" w14:textId="77777777" w:rsidR="00132E7D" w:rsidRPr="00EA7FD9" w:rsidRDefault="00132E7D" w:rsidP="00F030D3">
      <w:pPr>
        <w:numPr>
          <w:ilvl w:val="0"/>
          <w:numId w:val="7"/>
        </w:numPr>
        <w:tabs>
          <w:tab w:val="num" w:pos="720"/>
        </w:tabs>
        <w:spacing w:before="40" w:after="40" w:line="300" w:lineRule="auto"/>
        <w:ind w:left="357" w:hanging="357"/>
        <w:rPr>
          <w:rFonts w:ascii="Calibri" w:hAnsi="Calibri" w:cs="Calibri"/>
          <w:lang w:val="hr-HR"/>
        </w:rPr>
      </w:pPr>
      <w:r w:rsidRPr="00EA7FD9">
        <w:rPr>
          <w:rFonts w:ascii="Calibri" w:hAnsi="Calibri" w:cs="Calibri"/>
          <w:lang w:val="hr-HR"/>
        </w:rPr>
        <w:t>jamstava</w:t>
      </w:r>
    </w:p>
    <w:p w14:paraId="4E3251A0" w14:textId="77777777" w:rsidR="00132E7D" w:rsidRPr="00EA7FD9" w:rsidRDefault="00132E7D" w:rsidP="00F030D3">
      <w:pPr>
        <w:numPr>
          <w:ilvl w:val="0"/>
          <w:numId w:val="7"/>
        </w:numPr>
        <w:tabs>
          <w:tab w:val="num" w:pos="720"/>
        </w:tabs>
        <w:spacing w:before="40" w:after="40" w:line="300" w:lineRule="auto"/>
        <w:ind w:left="357" w:hanging="357"/>
        <w:rPr>
          <w:rFonts w:ascii="Calibri" w:hAnsi="Calibri" w:cs="Calibri"/>
          <w:lang w:val="hr-HR"/>
        </w:rPr>
      </w:pPr>
      <w:r>
        <w:rPr>
          <w:rFonts w:ascii="Calibri" w:hAnsi="Calibri" w:cs="Calibri"/>
          <w:lang w:val="hr-HR"/>
        </w:rPr>
        <w:t>vlasničkog kapitala</w:t>
      </w:r>
    </w:p>
    <w:p w14:paraId="7B723BB7" w14:textId="77777777" w:rsidR="00132E7D" w:rsidRPr="00EA7FD9" w:rsidRDefault="00132E7D" w:rsidP="00F030D3">
      <w:pPr>
        <w:spacing w:before="40" w:after="40" w:line="300" w:lineRule="auto"/>
        <w:rPr>
          <w:rFonts w:ascii="Calibri" w:hAnsi="Calibri" w:cs="Calibri"/>
          <w:lang w:val="hr-HR"/>
        </w:rPr>
      </w:pPr>
      <w:r w:rsidRPr="00EA7FD9">
        <w:rPr>
          <w:rFonts w:ascii="Calibri" w:hAnsi="Calibri" w:cs="Calibri"/>
          <w:lang w:val="hr-HR"/>
        </w:rPr>
        <w:t xml:space="preserve">Sva sredstva iz </w:t>
      </w:r>
      <w:r>
        <w:rPr>
          <w:rFonts w:ascii="Calibri" w:hAnsi="Calibri" w:cs="Calibri"/>
          <w:lang w:val="hr-HR"/>
        </w:rPr>
        <w:t>fondova za urbani razvoj</w:t>
      </w:r>
      <w:r w:rsidRPr="00EA7FD9">
        <w:rPr>
          <w:rFonts w:ascii="Calibri" w:hAnsi="Calibri" w:cs="Calibri"/>
          <w:lang w:val="hr-HR"/>
        </w:rPr>
        <w:t xml:space="preserve"> potrebno je uložiti u projekte održivog urbanog razvoja do završetka </w:t>
      </w:r>
      <w:r w:rsidRPr="006F4187">
        <w:rPr>
          <w:rFonts w:ascii="Calibri" w:hAnsi="Calibri" w:cs="Calibri"/>
          <w:lang w:val="hr-HR"/>
        </w:rPr>
        <w:t>razdoblja prihvatljivih izdataka OP-a</w:t>
      </w:r>
      <w:r w:rsidRPr="00EA7FD9">
        <w:rPr>
          <w:rFonts w:ascii="Calibri" w:hAnsi="Calibri" w:cs="Calibri"/>
          <w:lang w:val="hr-HR"/>
        </w:rPr>
        <w:t>, odnosno</w:t>
      </w:r>
      <w:r>
        <w:rPr>
          <w:rFonts w:ascii="Calibri" w:hAnsi="Calibri" w:cs="Calibri"/>
          <w:lang w:val="hr-HR"/>
        </w:rPr>
        <w:t>,</w:t>
      </w:r>
      <w:r w:rsidRPr="00EA7FD9">
        <w:rPr>
          <w:rFonts w:ascii="Calibri" w:hAnsi="Calibri" w:cs="Calibri"/>
          <w:lang w:val="hr-HR"/>
        </w:rPr>
        <w:t xml:space="preserve"> u slučaju OP-a za razdoblje 2014.-2020</w:t>
      </w:r>
      <w:r>
        <w:rPr>
          <w:rFonts w:ascii="Calibri" w:hAnsi="Calibri" w:cs="Calibri"/>
          <w:lang w:val="hr-HR"/>
        </w:rPr>
        <w:t>. do kraja 2023. godine.</w:t>
      </w:r>
    </w:p>
    <w:p w14:paraId="6869DE74" w14:textId="77777777" w:rsidR="00132E7D" w:rsidRPr="00EA7FD9" w:rsidRDefault="00132E7D" w:rsidP="00F030D3">
      <w:pPr>
        <w:spacing w:before="40" w:after="40" w:line="300" w:lineRule="auto"/>
        <w:rPr>
          <w:rFonts w:ascii="Calibri" w:hAnsi="Calibri" w:cs="Calibri"/>
          <w:lang w:val="hr-HR"/>
        </w:rPr>
      </w:pPr>
      <w:r w:rsidRPr="00EA7FD9">
        <w:rPr>
          <w:rFonts w:ascii="Calibri" w:hAnsi="Calibri" w:cs="Calibri"/>
          <w:lang w:val="hr-HR"/>
        </w:rPr>
        <w:t>Međutim, s obzirom na prirodu izvršenih ulaganj</w:t>
      </w:r>
      <w:r>
        <w:rPr>
          <w:rFonts w:ascii="Calibri" w:hAnsi="Calibri" w:cs="Calibri"/>
          <w:lang w:val="hr-HR"/>
        </w:rPr>
        <w:t>a sredstva se u konačnici vraćaju</w:t>
      </w:r>
      <w:r w:rsidRPr="00EA7FD9">
        <w:rPr>
          <w:rFonts w:ascii="Calibri" w:hAnsi="Calibri" w:cs="Calibri"/>
          <w:lang w:val="hr-HR"/>
        </w:rPr>
        <w:t xml:space="preserve"> u </w:t>
      </w:r>
      <w:r>
        <w:rPr>
          <w:rFonts w:ascii="Calibri" w:hAnsi="Calibri" w:cs="Calibri"/>
          <w:lang w:val="hr-HR"/>
        </w:rPr>
        <w:t>fond za urbani razvoj</w:t>
      </w:r>
      <w:r w:rsidRPr="00EA7FD9">
        <w:rPr>
          <w:rFonts w:ascii="Calibri" w:hAnsi="Calibri" w:cs="Calibri"/>
          <w:lang w:val="hr-HR"/>
        </w:rPr>
        <w:t xml:space="preserve">. </w:t>
      </w:r>
      <w:r>
        <w:rPr>
          <w:rFonts w:ascii="Calibri" w:hAnsi="Calibri" w:cs="Calibri"/>
          <w:lang w:val="hr-HR"/>
        </w:rPr>
        <w:t xml:space="preserve">Fond </w:t>
      </w:r>
      <w:r w:rsidRPr="00EA7FD9">
        <w:rPr>
          <w:rFonts w:ascii="Calibri" w:hAnsi="Calibri" w:cs="Calibri"/>
          <w:lang w:val="hr-HR"/>
        </w:rPr>
        <w:t>tako može postati ‘</w:t>
      </w:r>
      <w:r w:rsidRPr="004C0D15">
        <w:rPr>
          <w:rFonts w:ascii="Calibri" w:hAnsi="Calibri" w:cs="Calibri"/>
          <w:i/>
          <w:iCs/>
          <w:lang w:val="hr-HR"/>
        </w:rPr>
        <w:t>revolving</w:t>
      </w:r>
      <w:r w:rsidRPr="00EA7FD9">
        <w:rPr>
          <w:rFonts w:ascii="Calibri" w:hAnsi="Calibri" w:cs="Calibri"/>
          <w:lang w:val="hr-HR"/>
        </w:rPr>
        <w:t>’ instrument</w:t>
      </w:r>
      <w:r>
        <w:rPr>
          <w:rFonts w:ascii="Calibri" w:hAnsi="Calibri" w:cs="Calibri"/>
          <w:lang w:val="hr-HR"/>
        </w:rPr>
        <w:t xml:space="preserve"> za daljnja ulaganja u</w:t>
      </w:r>
      <w:r w:rsidRPr="00EA7FD9">
        <w:rPr>
          <w:rFonts w:ascii="Calibri" w:hAnsi="Calibri" w:cs="Calibri"/>
          <w:lang w:val="hr-HR"/>
        </w:rPr>
        <w:t xml:space="preserve"> pro</w:t>
      </w:r>
      <w:r>
        <w:rPr>
          <w:rFonts w:ascii="Calibri" w:hAnsi="Calibri" w:cs="Calibri"/>
          <w:lang w:val="hr-HR"/>
        </w:rPr>
        <w:t>jekte održivog urbanog razvoja, s tendencijom trajnog rasta.</w:t>
      </w:r>
      <w:r w:rsidRPr="00EA7FD9">
        <w:rPr>
          <w:rFonts w:ascii="Calibri" w:hAnsi="Calibri" w:cs="Calibri"/>
          <w:lang w:val="hr-HR"/>
        </w:rPr>
        <w:t xml:space="preserve"> Na taj način financijski instrumenti </w:t>
      </w:r>
      <w:r>
        <w:rPr>
          <w:rFonts w:ascii="Calibri" w:hAnsi="Calibri" w:cs="Calibri"/>
          <w:lang w:val="hr-HR"/>
        </w:rPr>
        <w:t>poput</w:t>
      </w:r>
      <w:r w:rsidRPr="00EA7FD9">
        <w:rPr>
          <w:rFonts w:ascii="Calibri" w:hAnsi="Calibri" w:cs="Calibri"/>
          <w:lang w:val="hr-HR"/>
        </w:rPr>
        <w:t xml:space="preserve"> JESSICA</w:t>
      </w:r>
      <w:r>
        <w:rPr>
          <w:rFonts w:ascii="Calibri" w:hAnsi="Calibri" w:cs="Calibri"/>
          <w:lang w:val="hr-HR"/>
        </w:rPr>
        <w:t>-e</w:t>
      </w:r>
      <w:r w:rsidRPr="00EA7FD9">
        <w:rPr>
          <w:rFonts w:ascii="Calibri" w:hAnsi="Calibri" w:cs="Calibri"/>
          <w:lang w:val="hr-HR"/>
        </w:rPr>
        <w:t xml:space="preserve"> mogu </w:t>
      </w:r>
      <w:r>
        <w:rPr>
          <w:rFonts w:ascii="Calibri" w:hAnsi="Calibri" w:cs="Calibri"/>
          <w:lang w:val="hr-HR"/>
        </w:rPr>
        <w:t>doprinijeti</w:t>
      </w:r>
      <w:r w:rsidRPr="00EA7FD9">
        <w:rPr>
          <w:rFonts w:ascii="Calibri" w:hAnsi="Calibri" w:cs="Calibri"/>
          <w:lang w:val="hr-HR"/>
        </w:rPr>
        <w:t xml:space="preserve">  značajno</w:t>
      </w:r>
      <w:r>
        <w:rPr>
          <w:rFonts w:ascii="Calibri" w:hAnsi="Calibri" w:cs="Calibri"/>
          <w:lang w:val="hr-HR"/>
        </w:rPr>
        <w:t>m</w:t>
      </w:r>
      <w:r w:rsidRPr="00EA7FD9">
        <w:rPr>
          <w:rFonts w:ascii="Calibri" w:hAnsi="Calibri" w:cs="Calibri"/>
          <w:lang w:val="hr-HR"/>
        </w:rPr>
        <w:t xml:space="preserve"> povećanj</w:t>
      </w:r>
      <w:r>
        <w:rPr>
          <w:rFonts w:ascii="Calibri" w:hAnsi="Calibri" w:cs="Calibri"/>
          <w:lang w:val="hr-HR"/>
        </w:rPr>
        <w:t>u</w:t>
      </w:r>
      <w:r w:rsidRPr="00EA7FD9">
        <w:rPr>
          <w:rFonts w:ascii="Calibri" w:hAnsi="Calibri" w:cs="Calibri"/>
          <w:lang w:val="hr-HR"/>
        </w:rPr>
        <w:t xml:space="preserve"> vrijednosti za uložen novac</w:t>
      </w:r>
      <w:r>
        <w:rPr>
          <w:rFonts w:ascii="Calibri" w:hAnsi="Calibri" w:cs="Calibri"/>
          <w:lang w:val="hr-HR"/>
        </w:rPr>
        <w:t>,</w:t>
      </w:r>
      <w:r w:rsidRPr="00EA7FD9">
        <w:rPr>
          <w:rFonts w:ascii="Calibri" w:hAnsi="Calibri" w:cs="Calibri"/>
          <w:lang w:val="hr-HR"/>
        </w:rPr>
        <w:t xml:space="preserve"> u usporedbi s tradicionalnim </w:t>
      </w:r>
      <w:r w:rsidRPr="00EA7FD9">
        <w:rPr>
          <w:rFonts w:ascii="Calibri" w:hAnsi="Calibri" w:cs="Calibri"/>
          <w:lang w:val="hr-HR"/>
        </w:rPr>
        <w:lastRenderedPageBreak/>
        <w:t xml:space="preserve">financiranjem </w:t>
      </w:r>
      <w:r>
        <w:rPr>
          <w:rFonts w:ascii="Calibri" w:hAnsi="Calibri" w:cs="Calibri"/>
          <w:lang w:val="hr-HR"/>
        </w:rPr>
        <w:t>u obliku</w:t>
      </w:r>
      <w:r w:rsidRPr="00EA7FD9">
        <w:rPr>
          <w:rFonts w:ascii="Calibri" w:hAnsi="Calibri" w:cs="Calibri"/>
          <w:lang w:val="hr-HR"/>
        </w:rPr>
        <w:t xml:space="preserve"> </w:t>
      </w:r>
      <w:r>
        <w:rPr>
          <w:rFonts w:ascii="Calibri" w:hAnsi="Calibri" w:cs="Calibri"/>
          <w:lang w:val="hr-HR"/>
        </w:rPr>
        <w:t>bespovratnih sredstava. To</w:t>
      </w:r>
      <w:r w:rsidRPr="00EA7FD9">
        <w:rPr>
          <w:rFonts w:ascii="Calibri" w:hAnsi="Calibri" w:cs="Calibri"/>
          <w:lang w:val="hr-HR"/>
        </w:rPr>
        <w:t xml:space="preserve"> donosi sasvim novi značaj </w:t>
      </w:r>
      <w:r>
        <w:rPr>
          <w:rFonts w:ascii="Calibri" w:hAnsi="Calibri" w:cs="Calibri"/>
          <w:lang w:val="hr-HR"/>
        </w:rPr>
        <w:t>krilatici</w:t>
      </w:r>
      <w:r w:rsidRPr="00EA7FD9">
        <w:rPr>
          <w:rFonts w:ascii="Calibri" w:hAnsi="Calibri" w:cs="Calibri"/>
          <w:lang w:val="hr-HR"/>
        </w:rPr>
        <w:t xml:space="preserve"> </w:t>
      </w:r>
      <w:r>
        <w:rPr>
          <w:rFonts w:ascii="Calibri" w:hAnsi="Calibri" w:cs="Calibri"/>
          <w:lang w:val="hr-HR"/>
        </w:rPr>
        <w:t xml:space="preserve">fondova </w:t>
      </w:r>
      <w:r w:rsidRPr="00EA7FD9">
        <w:rPr>
          <w:rFonts w:ascii="Calibri" w:hAnsi="Calibri" w:cs="Calibri"/>
          <w:lang w:val="hr-HR"/>
        </w:rPr>
        <w:t>EU</w:t>
      </w:r>
      <w:r>
        <w:rPr>
          <w:rFonts w:ascii="Calibri" w:hAnsi="Calibri" w:cs="Calibri"/>
          <w:lang w:val="hr-HR"/>
        </w:rPr>
        <w:t>-a</w:t>
      </w:r>
      <w:r w:rsidRPr="00EA7FD9">
        <w:rPr>
          <w:rFonts w:ascii="Calibri" w:hAnsi="Calibri" w:cs="Calibri"/>
          <w:lang w:val="hr-HR"/>
        </w:rPr>
        <w:t xml:space="preserve"> ‘</w:t>
      </w:r>
      <w:r w:rsidRPr="00EA7FD9">
        <w:rPr>
          <w:rFonts w:ascii="Calibri" w:hAnsi="Calibri" w:cs="Calibri"/>
          <w:i/>
          <w:iCs/>
          <w:lang w:val="hr-HR"/>
        </w:rPr>
        <w:t>Ulaganje u budućnost’</w:t>
      </w:r>
      <w:r w:rsidRPr="00EA7FD9">
        <w:rPr>
          <w:rFonts w:ascii="Calibri" w:hAnsi="Calibri" w:cs="Calibri"/>
          <w:lang w:val="hr-HR"/>
        </w:rPr>
        <w:t>.</w:t>
      </w:r>
    </w:p>
    <w:p w14:paraId="4087F576" w14:textId="77777777" w:rsidR="00132E7D" w:rsidRPr="00EA7FD9" w:rsidRDefault="00132E7D" w:rsidP="00F030D3">
      <w:pPr>
        <w:spacing w:before="40" w:after="40" w:line="300" w:lineRule="auto"/>
        <w:rPr>
          <w:rFonts w:ascii="Calibri" w:hAnsi="Calibri" w:cs="Calibri"/>
          <w:lang w:val="hr-HR"/>
        </w:rPr>
      </w:pPr>
      <w:r w:rsidRPr="00EA7FD9">
        <w:rPr>
          <w:rFonts w:ascii="Calibri" w:hAnsi="Calibri" w:cs="Calibri"/>
          <w:lang w:val="hr-HR"/>
        </w:rPr>
        <w:t xml:space="preserve">Projekti u koje ulaže </w:t>
      </w:r>
      <w:r>
        <w:rPr>
          <w:rFonts w:ascii="Calibri" w:hAnsi="Calibri" w:cs="Calibri"/>
          <w:lang w:val="hr-HR"/>
        </w:rPr>
        <w:t>fond za urbani razvoj</w:t>
      </w:r>
      <w:r w:rsidRPr="00EA7FD9">
        <w:rPr>
          <w:rFonts w:ascii="Calibri" w:hAnsi="Calibri" w:cs="Calibri"/>
          <w:lang w:val="hr-HR"/>
        </w:rPr>
        <w:t xml:space="preserve"> </w:t>
      </w:r>
      <w:r>
        <w:rPr>
          <w:rFonts w:ascii="Calibri" w:hAnsi="Calibri" w:cs="Calibri"/>
          <w:lang w:val="hr-HR"/>
        </w:rPr>
        <w:t xml:space="preserve">ipak se </w:t>
      </w:r>
      <w:r w:rsidRPr="00EA7FD9">
        <w:rPr>
          <w:rFonts w:ascii="Calibri" w:hAnsi="Calibri" w:cs="Calibri"/>
          <w:lang w:val="hr-HR"/>
        </w:rPr>
        <w:t xml:space="preserve">ponešto razlikuju od uobičajenih ciljeva ulaganja uz potporu </w:t>
      </w:r>
      <w:r>
        <w:rPr>
          <w:rFonts w:ascii="Calibri" w:hAnsi="Calibri" w:cs="Calibri"/>
          <w:lang w:val="hr-HR"/>
        </w:rPr>
        <w:t>bespovratnih sredstava</w:t>
      </w:r>
      <w:r w:rsidRPr="00EA7FD9">
        <w:rPr>
          <w:rFonts w:ascii="Calibri" w:hAnsi="Calibri" w:cs="Calibri"/>
          <w:lang w:val="hr-HR"/>
        </w:rPr>
        <w:t xml:space="preserve">. U prvom slučaju, </w:t>
      </w:r>
      <w:r>
        <w:rPr>
          <w:rFonts w:ascii="Calibri" w:hAnsi="Calibri" w:cs="Calibri"/>
          <w:lang w:val="hr-HR"/>
        </w:rPr>
        <w:t xml:space="preserve">projekti </w:t>
      </w:r>
      <w:r w:rsidRPr="00EA7FD9">
        <w:rPr>
          <w:rFonts w:ascii="Calibri" w:hAnsi="Calibri" w:cs="Calibri"/>
          <w:lang w:val="hr-HR"/>
        </w:rPr>
        <w:t xml:space="preserve">moraju imati jasan potencijal za stvaranje dobiti te </w:t>
      </w:r>
      <w:r>
        <w:rPr>
          <w:rFonts w:ascii="Calibri" w:hAnsi="Calibri" w:cs="Calibri"/>
          <w:lang w:val="hr-HR"/>
        </w:rPr>
        <w:t>kapacitet za otplaćivanje potpore</w:t>
      </w:r>
      <w:r w:rsidRPr="00EA7FD9">
        <w:rPr>
          <w:rFonts w:ascii="Calibri" w:hAnsi="Calibri" w:cs="Calibri"/>
          <w:lang w:val="hr-HR"/>
        </w:rPr>
        <w:t xml:space="preserve"> koju </w:t>
      </w:r>
      <w:r>
        <w:rPr>
          <w:rFonts w:ascii="Calibri" w:hAnsi="Calibri" w:cs="Calibri"/>
          <w:lang w:val="hr-HR"/>
        </w:rPr>
        <w:t>pruža fond za urbani razvoj</w:t>
      </w:r>
      <w:r w:rsidRPr="00EA7FD9">
        <w:rPr>
          <w:rFonts w:ascii="Calibri" w:hAnsi="Calibri" w:cs="Calibri"/>
          <w:lang w:val="hr-HR"/>
        </w:rPr>
        <w:t xml:space="preserve">. </w:t>
      </w:r>
      <w:r w:rsidRPr="0048637D">
        <w:rPr>
          <w:rFonts w:ascii="Calibri" w:hAnsi="Calibri" w:cs="Calibri"/>
          <w:lang w:val="hr-HR"/>
        </w:rPr>
        <w:t xml:space="preserve">No, s druge strane ne bi trebali biti toliko profitabilni niti toliko niskorizični da </w:t>
      </w:r>
      <w:r>
        <w:rPr>
          <w:rFonts w:ascii="Calibri" w:hAnsi="Calibri" w:cs="Calibri"/>
          <w:lang w:val="hr-HR"/>
        </w:rPr>
        <w:t>privuku</w:t>
      </w:r>
      <w:r w:rsidRPr="0048637D">
        <w:rPr>
          <w:rFonts w:ascii="Calibri" w:hAnsi="Calibri" w:cs="Calibri"/>
          <w:lang w:val="hr-HR"/>
        </w:rPr>
        <w:t xml:space="preserve"> </w:t>
      </w:r>
      <w:r>
        <w:rPr>
          <w:rFonts w:ascii="Calibri" w:hAnsi="Calibri" w:cs="Calibri"/>
          <w:lang w:val="hr-HR"/>
        </w:rPr>
        <w:t xml:space="preserve">uobičajeno bankovno financiranje </w:t>
      </w:r>
      <w:r w:rsidRPr="0048637D">
        <w:rPr>
          <w:rFonts w:ascii="Calibri" w:hAnsi="Calibri" w:cs="Calibri"/>
          <w:lang w:val="hr-HR"/>
        </w:rPr>
        <w:t>kada fond za urbani razvoj ne bi postojao.</w:t>
      </w:r>
      <w:r w:rsidRPr="00EA7FD9">
        <w:rPr>
          <w:rFonts w:ascii="Calibri" w:hAnsi="Calibri" w:cs="Calibri"/>
          <w:lang w:val="hr-HR"/>
        </w:rPr>
        <w:t xml:space="preserve"> Stoga se </w:t>
      </w:r>
      <w:r>
        <w:rPr>
          <w:rFonts w:ascii="Calibri" w:hAnsi="Calibri" w:cs="Calibri"/>
          <w:lang w:val="hr-HR"/>
        </w:rPr>
        <w:t xml:space="preserve">fond za urbani razvoj </w:t>
      </w:r>
      <w:r w:rsidRPr="00EA7FD9">
        <w:rPr>
          <w:rFonts w:ascii="Calibri" w:hAnsi="Calibri" w:cs="Calibri"/>
          <w:lang w:val="hr-HR"/>
        </w:rPr>
        <w:t xml:space="preserve">mora usmjeriti na područja </w:t>
      </w:r>
      <w:r>
        <w:rPr>
          <w:rFonts w:ascii="Calibri" w:hAnsi="Calibri" w:cs="Calibri"/>
          <w:lang w:val="hr-HR"/>
        </w:rPr>
        <w:t>tržišnog neuspjeha</w:t>
      </w:r>
      <w:r w:rsidRPr="00EA7FD9">
        <w:rPr>
          <w:rFonts w:ascii="Calibri" w:hAnsi="Calibri" w:cs="Calibri"/>
          <w:lang w:val="hr-HR"/>
        </w:rPr>
        <w:t xml:space="preserve"> te se ne smije dovesti u položaj </w:t>
      </w:r>
      <w:r>
        <w:rPr>
          <w:rFonts w:ascii="Calibri" w:hAnsi="Calibri" w:cs="Calibri"/>
          <w:lang w:val="hr-HR"/>
        </w:rPr>
        <w:t>pukog</w:t>
      </w:r>
      <w:r w:rsidRPr="00EA7FD9">
        <w:rPr>
          <w:rFonts w:ascii="Calibri" w:hAnsi="Calibri" w:cs="Calibri"/>
          <w:lang w:val="hr-HR"/>
        </w:rPr>
        <w:t xml:space="preserve"> natjecanja s domaćim bankarskim i financijskim sektorom (primjerice</w:t>
      </w:r>
      <w:r>
        <w:rPr>
          <w:rFonts w:ascii="Calibri" w:hAnsi="Calibri" w:cs="Calibri"/>
          <w:lang w:val="hr-HR"/>
        </w:rPr>
        <w:t>,</w:t>
      </w:r>
      <w:r w:rsidRPr="00EA7FD9">
        <w:rPr>
          <w:rFonts w:ascii="Calibri" w:hAnsi="Calibri" w:cs="Calibri"/>
          <w:lang w:val="hr-HR"/>
        </w:rPr>
        <w:t xml:space="preserve"> podupiranjem ulaganja u nekretnine koja ispunjavaju </w:t>
      </w:r>
      <w:r w:rsidRPr="003B4E60">
        <w:rPr>
          <w:rFonts w:ascii="Calibri" w:hAnsi="Calibri" w:cs="Calibri"/>
          <w:lang w:val="hr-HR"/>
        </w:rPr>
        <w:t xml:space="preserve">tržišne kriterije financiranja </w:t>
      </w:r>
      <w:r>
        <w:rPr>
          <w:rFonts w:ascii="Calibri" w:hAnsi="Calibri" w:cs="Calibri"/>
          <w:lang w:val="hr-HR"/>
        </w:rPr>
        <w:t>te</w:t>
      </w:r>
      <w:r w:rsidRPr="003B4E60">
        <w:rPr>
          <w:rFonts w:ascii="Calibri" w:hAnsi="Calibri" w:cs="Calibri"/>
          <w:lang w:val="hr-HR"/>
        </w:rPr>
        <w:t xml:space="preserve"> pod sličnim uvjetima).</w:t>
      </w:r>
      <w:r w:rsidRPr="00EA7FD9">
        <w:rPr>
          <w:rFonts w:ascii="Calibri" w:hAnsi="Calibri" w:cs="Calibri"/>
          <w:lang w:val="hr-HR"/>
        </w:rPr>
        <w:t xml:space="preserve">  </w:t>
      </w:r>
    </w:p>
    <w:p w14:paraId="3AE08A3B" w14:textId="77777777" w:rsidR="00132E7D" w:rsidRPr="00EA7FD9" w:rsidRDefault="00132E7D" w:rsidP="00F030D3">
      <w:pPr>
        <w:spacing w:before="40" w:after="40" w:line="300" w:lineRule="auto"/>
        <w:rPr>
          <w:rFonts w:ascii="Calibri" w:hAnsi="Calibri" w:cs="Calibri"/>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tblGrid>
      <w:tr w:rsidR="00132E7D" w:rsidRPr="00EA7FD9" w14:paraId="3A54E27F" w14:textId="77777777">
        <w:trPr>
          <w:jc w:val="center"/>
        </w:trPr>
        <w:tc>
          <w:tcPr>
            <w:tcW w:w="6946" w:type="dxa"/>
          </w:tcPr>
          <w:p w14:paraId="5323D585" w14:textId="77777777" w:rsidR="00132E7D" w:rsidRPr="00EA7FD9" w:rsidRDefault="00132E7D" w:rsidP="00F030D3">
            <w:pPr>
              <w:spacing w:before="40" w:after="40" w:line="300" w:lineRule="auto"/>
              <w:jc w:val="center"/>
              <w:rPr>
                <w:rFonts w:ascii="Calibri" w:hAnsi="Calibri" w:cs="Calibri"/>
                <w:b/>
                <w:bCs/>
                <w:sz w:val="20"/>
                <w:szCs w:val="20"/>
                <w:lang w:val="hr-HR"/>
              </w:rPr>
            </w:pPr>
            <w:r w:rsidRPr="003B4E60">
              <w:rPr>
                <w:rFonts w:ascii="Calibri" w:hAnsi="Calibri" w:cs="Calibri"/>
                <w:b/>
                <w:bCs/>
                <w:sz w:val="20"/>
                <w:szCs w:val="20"/>
                <w:lang w:val="hr-HR"/>
              </w:rPr>
              <w:t>Fondovi za urbani razvoj u okviru JESSICA-e i</w:t>
            </w:r>
            <w:r>
              <w:rPr>
                <w:rFonts w:ascii="Calibri" w:hAnsi="Calibri" w:cs="Calibri"/>
                <w:b/>
                <w:bCs/>
                <w:sz w:val="20"/>
                <w:szCs w:val="20"/>
                <w:lang w:val="hr-HR"/>
              </w:rPr>
              <w:t xml:space="preserve"> tržišni neuspjeh</w:t>
            </w:r>
          </w:p>
          <w:p w14:paraId="20C33239" w14:textId="77777777" w:rsidR="00132E7D" w:rsidRPr="00EA7FD9" w:rsidRDefault="00132E7D" w:rsidP="00F030D3">
            <w:pPr>
              <w:spacing w:before="40" w:after="40" w:line="300" w:lineRule="auto"/>
              <w:rPr>
                <w:rFonts w:ascii="Calibri" w:hAnsi="Calibri" w:cs="Calibri"/>
                <w:i/>
                <w:iCs/>
                <w:sz w:val="20"/>
                <w:szCs w:val="20"/>
                <w:lang w:val="hr-HR"/>
              </w:rPr>
            </w:pPr>
          </w:p>
          <w:p w14:paraId="7B6A858D" w14:textId="77777777" w:rsidR="00132E7D" w:rsidRPr="00EA7FD9" w:rsidRDefault="00132E7D" w:rsidP="00F030D3">
            <w:pPr>
              <w:spacing w:before="40" w:after="40" w:line="300" w:lineRule="auto"/>
              <w:rPr>
                <w:rFonts w:ascii="Calibri" w:hAnsi="Calibri" w:cs="Calibri"/>
                <w:sz w:val="20"/>
                <w:szCs w:val="20"/>
                <w:lang w:val="hr-HR"/>
              </w:rPr>
            </w:pPr>
            <w:r w:rsidRPr="00EA7FD9">
              <w:rPr>
                <w:rFonts w:ascii="Calibri" w:hAnsi="Calibri" w:cs="Calibri"/>
                <w:i/>
                <w:iCs/>
                <w:sz w:val="20"/>
                <w:szCs w:val="20"/>
                <w:lang w:val="hr-HR"/>
              </w:rPr>
              <w:t>‘</w:t>
            </w:r>
            <w:r>
              <w:rPr>
                <w:rFonts w:ascii="Calibri" w:hAnsi="Calibri" w:cs="Calibri"/>
                <w:i/>
                <w:iCs/>
                <w:sz w:val="20"/>
                <w:szCs w:val="20"/>
                <w:lang w:val="hr-HR"/>
              </w:rPr>
              <w:t>Očekivana profitabilnost projekta bez potpore fonda za urbani razvoj trebala bi biti manja od one koju tržište obično zahtijeva</w:t>
            </w:r>
            <w:r w:rsidRPr="00EA7FD9">
              <w:rPr>
                <w:rFonts w:ascii="Calibri" w:hAnsi="Calibri" w:cs="Calibri"/>
                <w:i/>
                <w:iCs/>
                <w:sz w:val="20"/>
                <w:szCs w:val="20"/>
                <w:lang w:val="hr-HR"/>
              </w:rPr>
              <w:t>.</w:t>
            </w:r>
          </w:p>
          <w:p w14:paraId="4092720D" w14:textId="77777777" w:rsidR="00132E7D" w:rsidRPr="00EA7FD9" w:rsidRDefault="00132E7D" w:rsidP="00F030D3">
            <w:pPr>
              <w:spacing w:before="40" w:after="40" w:line="300" w:lineRule="auto"/>
              <w:rPr>
                <w:rFonts w:ascii="Calibri" w:hAnsi="Calibri" w:cs="Calibri"/>
                <w:i/>
                <w:iCs/>
                <w:sz w:val="20"/>
                <w:szCs w:val="20"/>
                <w:lang w:val="hr-HR"/>
              </w:rPr>
            </w:pPr>
            <w:r>
              <w:rPr>
                <w:rFonts w:ascii="Calibri" w:hAnsi="Calibri" w:cs="Calibri"/>
                <w:i/>
                <w:iCs/>
                <w:sz w:val="20"/>
                <w:szCs w:val="20"/>
                <w:lang w:val="hr-HR"/>
              </w:rPr>
              <w:t>Projekt se ne bi mogao realizirati kroz uobičajene oblike financiranja</w:t>
            </w:r>
            <w:r w:rsidRPr="00EA7FD9">
              <w:rPr>
                <w:rFonts w:ascii="Calibri" w:hAnsi="Calibri" w:cs="Calibri"/>
                <w:i/>
                <w:iCs/>
                <w:sz w:val="20"/>
                <w:szCs w:val="20"/>
                <w:lang w:val="hr-HR"/>
              </w:rPr>
              <w:t xml:space="preserve"> </w:t>
            </w:r>
            <w:r>
              <w:rPr>
                <w:rFonts w:ascii="Calibri" w:hAnsi="Calibri" w:cs="Calibri"/>
                <w:i/>
                <w:iCs/>
                <w:sz w:val="20"/>
                <w:szCs w:val="20"/>
                <w:lang w:val="hr-HR"/>
              </w:rPr>
              <w:t>–</w:t>
            </w:r>
            <w:r w:rsidRPr="00EA7FD9">
              <w:rPr>
                <w:rFonts w:ascii="Calibri" w:hAnsi="Calibri" w:cs="Calibri"/>
                <w:i/>
                <w:iCs/>
                <w:sz w:val="20"/>
                <w:szCs w:val="20"/>
                <w:lang w:val="hr-HR"/>
              </w:rPr>
              <w:t xml:space="preserve"> </w:t>
            </w:r>
            <w:r>
              <w:rPr>
                <w:rFonts w:ascii="Calibri" w:hAnsi="Calibri" w:cs="Calibri"/>
                <w:i/>
                <w:iCs/>
                <w:sz w:val="20"/>
                <w:szCs w:val="20"/>
                <w:lang w:val="hr-HR"/>
              </w:rPr>
              <w:t>stopa povrata za investitore koji su uložili u projekt bila bi niža u odnosu na uobičajene tržišne uvjete, što ukazuje na tržišni neuspjeh.</w:t>
            </w:r>
            <w:r w:rsidRPr="00EA7FD9">
              <w:rPr>
                <w:rFonts w:ascii="Calibri" w:hAnsi="Calibri" w:cs="Calibri"/>
                <w:i/>
                <w:iCs/>
                <w:sz w:val="20"/>
                <w:szCs w:val="20"/>
                <w:lang w:val="hr-HR"/>
              </w:rPr>
              <w:t>’</w:t>
            </w:r>
          </w:p>
          <w:p w14:paraId="4D2E3211" w14:textId="77777777" w:rsidR="00132E7D" w:rsidRPr="00EA7FD9" w:rsidRDefault="00132E7D" w:rsidP="00F030D3">
            <w:pPr>
              <w:spacing w:before="40" w:after="40" w:line="300" w:lineRule="auto"/>
              <w:rPr>
                <w:rFonts w:ascii="Calibri" w:hAnsi="Calibri" w:cs="Calibri"/>
                <w:i/>
                <w:iCs/>
                <w:sz w:val="20"/>
                <w:szCs w:val="20"/>
                <w:lang w:val="hr-HR"/>
              </w:rPr>
            </w:pPr>
          </w:p>
          <w:p w14:paraId="00438BC0" w14:textId="77777777" w:rsidR="00132E7D" w:rsidRPr="00EA7FD9" w:rsidRDefault="00132E7D" w:rsidP="00F030D3">
            <w:pPr>
              <w:spacing w:before="40" w:after="40" w:line="300" w:lineRule="auto"/>
              <w:rPr>
                <w:rFonts w:ascii="Calibri" w:hAnsi="Calibri" w:cs="Calibri"/>
                <w:b/>
                <w:bCs/>
                <w:lang w:val="hr-HR"/>
              </w:rPr>
            </w:pPr>
            <w:r w:rsidRPr="00EA7FD9">
              <w:rPr>
                <w:rFonts w:ascii="Calibri" w:hAnsi="Calibri" w:cs="Calibri"/>
                <w:i/>
                <w:iCs/>
                <w:sz w:val="20"/>
                <w:szCs w:val="20"/>
                <w:lang w:val="hr-HR"/>
              </w:rPr>
              <w:t xml:space="preserve"> </w:t>
            </w:r>
            <w:r w:rsidRPr="00EA7FD9">
              <w:rPr>
                <w:rFonts w:ascii="Calibri" w:hAnsi="Calibri" w:cs="Calibri"/>
                <w:b/>
                <w:bCs/>
                <w:sz w:val="20"/>
                <w:szCs w:val="20"/>
                <w:lang w:val="hr-HR"/>
              </w:rPr>
              <w:t>Europ</w:t>
            </w:r>
            <w:r>
              <w:rPr>
                <w:rFonts w:ascii="Calibri" w:hAnsi="Calibri" w:cs="Calibri"/>
                <w:b/>
                <w:bCs/>
                <w:sz w:val="20"/>
                <w:szCs w:val="20"/>
                <w:lang w:val="hr-HR"/>
              </w:rPr>
              <w:t>ska investicijska banka</w:t>
            </w:r>
            <w:r w:rsidRPr="00EA7FD9">
              <w:rPr>
                <w:rFonts w:ascii="Calibri" w:hAnsi="Calibri" w:cs="Calibri"/>
                <w:b/>
                <w:bCs/>
                <w:sz w:val="20"/>
                <w:szCs w:val="20"/>
                <w:lang w:val="hr-HR"/>
              </w:rPr>
              <w:t xml:space="preserve"> </w:t>
            </w:r>
            <w:r>
              <w:rPr>
                <w:rFonts w:ascii="Calibri" w:hAnsi="Calibri" w:cs="Calibri"/>
                <w:b/>
                <w:bCs/>
                <w:sz w:val="20"/>
                <w:szCs w:val="20"/>
                <w:lang w:val="hr-HR"/>
              </w:rPr>
              <w:t>–</w:t>
            </w:r>
            <w:r w:rsidRPr="00EA7FD9">
              <w:rPr>
                <w:rFonts w:ascii="Calibri" w:hAnsi="Calibri" w:cs="Calibri"/>
                <w:b/>
                <w:bCs/>
                <w:sz w:val="20"/>
                <w:szCs w:val="20"/>
                <w:lang w:val="hr-HR"/>
              </w:rPr>
              <w:t xml:space="preserve"> 2011</w:t>
            </w:r>
            <w:r>
              <w:rPr>
                <w:rFonts w:ascii="Calibri" w:hAnsi="Calibri" w:cs="Calibri"/>
                <w:b/>
                <w:bCs/>
                <w:sz w:val="20"/>
                <w:szCs w:val="20"/>
                <w:lang w:val="hr-HR"/>
              </w:rPr>
              <w:t>.</w:t>
            </w:r>
            <w:r w:rsidRPr="00EA7FD9">
              <w:rPr>
                <w:rFonts w:ascii="Calibri" w:hAnsi="Calibri" w:cs="Calibri"/>
                <w:b/>
                <w:bCs/>
                <w:lang w:val="hr-HR"/>
              </w:rPr>
              <w:t xml:space="preserve"> </w:t>
            </w:r>
          </w:p>
        </w:tc>
      </w:tr>
    </w:tbl>
    <w:p w14:paraId="6582003F" w14:textId="77777777" w:rsidR="00132E7D" w:rsidRPr="00EA7FD9" w:rsidRDefault="00132E7D" w:rsidP="00F030D3">
      <w:pPr>
        <w:spacing w:before="40" w:after="40" w:line="300" w:lineRule="auto"/>
        <w:rPr>
          <w:rFonts w:ascii="Calibri" w:hAnsi="Calibri" w:cs="Calibri"/>
          <w:lang w:val="hr-HR"/>
        </w:rPr>
      </w:pPr>
    </w:p>
    <w:p w14:paraId="47505E82" w14:textId="77777777" w:rsidR="00132E7D" w:rsidRPr="00EA7FD9" w:rsidRDefault="00132E7D" w:rsidP="00F030D3">
      <w:pPr>
        <w:spacing w:before="40" w:after="40" w:line="300" w:lineRule="auto"/>
        <w:rPr>
          <w:rFonts w:ascii="Calibri" w:hAnsi="Calibri" w:cs="Calibri"/>
          <w:lang w:val="hr-HR"/>
        </w:rPr>
      </w:pPr>
      <w:r>
        <w:rPr>
          <w:rFonts w:ascii="Calibri" w:hAnsi="Calibri" w:cs="Calibri"/>
          <w:lang w:val="hr-HR"/>
        </w:rPr>
        <w:t>P</w:t>
      </w:r>
      <w:r w:rsidRPr="00EA7FD9">
        <w:rPr>
          <w:rFonts w:ascii="Calibri" w:hAnsi="Calibri" w:cs="Calibri"/>
          <w:lang w:val="hr-HR"/>
        </w:rPr>
        <w:t>rema definiciji EIB-a iz 2010.</w:t>
      </w:r>
      <w:r>
        <w:rPr>
          <w:rFonts w:ascii="Calibri" w:hAnsi="Calibri" w:cs="Calibri"/>
          <w:lang w:val="hr-HR"/>
        </w:rPr>
        <w:t xml:space="preserve"> godine</w:t>
      </w:r>
      <w:r w:rsidRPr="00EA7FD9">
        <w:rPr>
          <w:rFonts w:ascii="Calibri" w:hAnsi="Calibri" w:cs="Calibri"/>
          <w:lang w:val="hr-HR"/>
        </w:rPr>
        <w:t xml:space="preserve">, </w:t>
      </w:r>
      <w:r>
        <w:rPr>
          <w:rFonts w:ascii="Calibri" w:hAnsi="Calibri" w:cs="Calibri"/>
          <w:lang w:val="hr-HR"/>
        </w:rPr>
        <w:t xml:space="preserve">fondovi za urbani razvoj </w:t>
      </w:r>
      <w:r w:rsidRPr="00EA7FD9">
        <w:rPr>
          <w:rFonts w:ascii="Calibri" w:hAnsi="Calibri" w:cs="Calibri"/>
          <w:lang w:val="hr-HR"/>
        </w:rPr>
        <w:t>mogu se osnivati kao:</w:t>
      </w:r>
    </w:p>
    <w:p w14:paraId="71467119" w14:textId="77777777" w:rsidR="00132E7D" w:rsidRPr="00EA7FD9" w:rsidRDefault="00132E7D" w:rsidP="00F030D3">
      <w:pPr>
        <w:numPr>
          <w:ilvl w:val="0"/>
          <w:numId w:val="8"/>
        </w:numPr>
        <w:tabs>
          <w:tab w:val="num" w:pos="720"/>
        </w:tabs>
        <w:spacing w:before="40" w:after="40" w:line="300" w:lineRule="auto"/>
        <w:ind w:left="357" w:hanging="357"/>
        <w:rPr>
          <w:rFonts w:ascii="Calibri" w:hAnsi="Calibri" w:cs="Calibri"/>
          <w:lang w:val="hr-HR"/>
        </w:rPr>
      </w:pPr>
      <w:r w:rsidRPr="00EA7FD9">
        <w:rPr>
          <w:rFonts w:ascii="Calibri" w:hAnsi="Calibri" w:cs="Calibri"/>
          <w:lang w:val="hr-HR"/>
        </w:rPr>
        <w:t>dionička društva – u potpunom vlasništvu dioničara</w:t>
      </w:r>
      <w:r>
        <w:rPr>
          <w:rFonts w:ascii="Calibri" w:hAnsi="Calibri" w:cs="Calibri"/>
          <w:lang w:val="hr-HR"/>
        </w:rPr>
        <w:t>;</w:t>
      </w:r>
    </w:p>
    <w:p w14:paraId="366DBE0D" w14:textId="77777777" w:rsidR="00132E7D" w:rsidRPr="00EA7FD9" w:rsidRDefault="00132E7D" w:rsidP="00F030D3">
      <w:pPr>
        <w:numPr>
          <w:ilvl w:val="0"/>
          <w:numId w:val="8"/>
        </w:numPr>
        <w:tabs>
          <w:tab w:val="num" w:pos="720"/>
        </w:tabs>
        <w:spacing w:before="40" w:after="40" w:line="300" w:lineRule="auto"/>
        <w:ind w:left="357" w:hanging="357"/>
        <w:rPr>
          <w:rFonts w:ascii="Calibri" w:hAnsi="Calibri" w:cs="Calibri"/>
          <w:lang w:val="hr-HR"/>
        </w:rPr>
      </w:pPr>
      <w:r w:rsidRPr="00EA7FD9">
        <w:rPr>
          <w:rFonts w:ascii="Calibri" w:hAnsi="Calibri" w:cs="Calibri"/>
          <w:lang w:val="hr-HR"/>
        </w:rPr>
        <w:t>društva s ograničenom odgovornošću – u kojima je odgovornost ograničena na ulaganje svakog pojedinog vlasnika u društvo</w:t>
      </w:r>
      <w:r>
        <w:rPr>
          <w:rFonts w:ascii="Calibri" w:hAnsi="Calibri" w:cs="Calibri"/>
          <w:lang w:val="hr-HR"/>
        </w:rPr>
        <w:t>;</w:t>
      </w:r>
    </w:p>
    <w:p w14:paraId="2B20B6D7" w14:textId="77777777" w:rsidR="00132E7D" w:rsidRPr="00EA7FD9" w:rsidRDefault="00132E7D" w:rsidP="00F030D3">
      <w:pPr>
        <w:numPr>
          <w:ilvl w:val="0"/>
          <w:numId w:val="8"/>
        </w:numPr>
        <w:tabs>
          <w:tab w:val="num" w:pos="720"/>
        </w:tabs>
        <w:spacing w:before="40" w:after="40" w:line="300" w:lineRule="auto"/>
        <w:ind w:left="357" w:hanging="357"/>
        <w:rPr>
          <w:rFonts w:ascii="Calibri" w:hAnsi="Calibri" w:cs="Calibri"/>
          <w:lang w:val="hr-HR"/>
        </w:rPr>
      </w:pPr>
      <w:r w:rsidRPr="00EA7FD9">
        <w:rPr>
          <w:rFonts w:ascii="Calibri" w:hAnsi="Calibri" w:cs="Calibri"/>
          <w:lang w:val="hr-HR"/>
        </w:rPr>
        <w:t>investicijski fondovi – zasebn</w:t>
      </w:r>
      <w:r>
        <w:rPr>
          <w:rFonts w:ascii="Calibri" w:hAnsi="Calibri" w:cs="Calibri"/>
          <w:lang w:val="hr-HR"/>
        </w:rPr>
        <w:t>e</w:t>
      </w:r>
      <w:r w:rsidRPr="00EA7FD9">
        <w:rPr>
          <w:rFonts w:ascii="Calibri" w:hAnsi="Calibri" w:cs="Calibri"/>
          <w:lang w:val="hr-HR"/>
        </w:rPr>
        <w:t xml:space="preserve"> </w:t>
      </w:r>
      <w:r w:rsidRPr="00E66391">
        <w:rPr>
          <w:rFonts w:ascii="Calibri" w:hAnsi="Calibri" w:cs="Calibri"/>
          <w:lang w:val="hr-HR"/>
        </w:rPr>
        <w:t>financijske organizacije</w:t>
      </w:r>
      <w:r w:rsidRPr="00EA7FD9">
        <w:rPr>
          <w:rFonts w:ascii="Calibri" w:hAnsi="Calibri" w:cs="Calibri"/>
          <w:lang w:val="hr-HR"/>
        </w:rPr>
        <w:t xml:space="preserve"> u okviru financijskih institucija</w:t>
      </w:r>
      <w:r>
        <w:rPr>
          <w:rFonts w:ascii="Calibri" w:hAnsi="Calibri" w:cs="Calibri"/>
          <w:lang w:val="hr-HR"/>
        </w:rPr>
        <w:t>;</w:t>
      </w:r>
    </w:p>
    <w:p w14:paraId="21131FD6" w14:textId="77777777" w:rsidR="00132E7D" w:rsidRPr="00EA7FD9" w:rsidRDefault="00132E7D" w:rsidP="00F030D3">
      <w:pPr>
        <w:numPr>
          <w:ilvl w:val="0"/>
          <w:numId w:val="8"/>
        </w:numPr>
        <w:tabs>
          <w:tab w:val="num" w:pos="720"/>
        </w:tabs>
        <w:spacing w:before="40" w:after="40" w:line="300" w:lineRule="auto"/>
        <w:ind w:left="357" w:hanging="357"/>
        <w:rPr>
          <w:rFonts w:ascii="Calibri" w:hAnsi="Calibri" w:cs="Calibri"/>
          <w:lang w:val="hr-HR"/>
        </w:rPr>
      </w:pPr>
      <w:r w:rsidRPr="00EA7FD9">
        <w:rPr>
          <w:rFonts w:ascii="Calibri" w:hAnsi="Calibri" w:cs="Calibri"/>
          <w:lang w:val="hr-HR"/>
        </w:rPr>
        <w:t>ostali prihvatljivi organizacijski oblici</w:t>
      </w:r>
      <w:r>
        <w:rPr>
          <w:rFonts w:ascii="Calibri" w:hAnsi="Calibri" w:cs="Calibri"/>
          <w:lang w:val="hr-HR"/>
        </w:rPr>
        <w:t>.</w:t>
      </w:r>
    </w:p>
    <w:p w14:paraId="75B92463" w14:textId="77777777" w:rsidR="00132E7D" w:rsidRPr="00EA7FD9" w:rsidRDefault="00132E7D" w:rsidP="00F030D3">
      <w:pPr>
        <w:spacing w:before="40" w:after="40" w:line="300" w:lineRule="auto"/>
        <w:rPr>
          <w:rFonts w:ascii="Calibri" w:hAnsi="Calibri" w:cs="Calibri"/>
          <w:lang w:val="hr-HR"/>
        </w:rPr>
      </w:pPr>
      <w:r>
        <w:rPr>
          <w:rFonts w:ascii="Calibri" w:hAnsi="Calibri" w:cs="Calibri"/>
          <w:lang w:val="hr-HR"/>
        </w:rPr>
        <w:t>U sklopu</w:t>
      </w:r>
      <w:r w:rsidRPr="00EA7FD9">
        <w:rPr>
          <w:rFonts w:ascii="Calibri" w:hAnsi="Calibri" w:cs="Calibri"/>
          <w:lang w:val="hr-HR"/>
        </w:rPr>
        <w:t xml:space="preserve"> JESSICA</w:t>
      </w:r>
      <w:r>
        <w:rPr>
          <w:rFonts w:ascii="Calibri" w:hAnsi="Calibri" w:cs="Calibri"/>
          <w:lang w:val="hr-HR"/>
        </w:rPr>
        <w:t>-e</w:t>
      </w:r>
      <w:r w:rsidRPr="00EA7FD9">
        <w:rPr>
          <w:rFonts w:ascii="Calibri" w:hAnsi="Calibri" w:cs="Calibri"/>
          <w:lang w:val="hr-HR"/>
        </w:rPr>
        <w:t xml:space="preserve">, država članica može odlučiti </w:t>
      </w:r>
      <w:r>
        <w:rPr>
          <w:rFonts w:ascii="Calibri" w:hAnsi="Calibri" w:cs="Calibri"/>
          <w:lang w:val="hr-HR"/>
        </w:rPr>
        <w:t>o osnivanju</w:t>
      </w:r>
      <w:r w:rsidRPr="00EA7FD9">
        <w:rPr>
          <w:rFonts w:ascii="Calibri" w:hAnsi="Calibri" w:cs="Calibri"/>
          <w:lang w:val="hr-HR"/>
        </w:rPr>
        <w:t xml:space="preserve"> nekoliko zasebnih </w:t>
      </w:r>
      <w:r>
        <w:rPr>
          <w:rFonts w:ascii="Calibri" w:hAnsi="Calibri" w:cs="Calibri"/>
          <w:lang w:val="hr-HR"/>
        </w:rPr>
        <w:t xml:space="preserve">fondova za urbani razvoj, </w:t>
      </w:r>
      <w:r w:rsidRPr="00EA7FD9">
        <w:rPr>
          <w:rFonts w:ascii="Calibri" w:hAnsi="Calibri" w:cs="Calibri"/>
          <w:lang w:val="hr-HR"/>
        </w:rPr>
        <w:t xml:space="preserve">specijaliziranih za različite vrste ulaganja ili različita područja ulaganja. Oni se obično osnivaju </w:t>
      </w:r>
      <w:r>
        <w:rPr>
          <w:rFonts w:ascii="Calibri" w:hAnsi="Calibri" w:cs="Calibri"/>
          <w:lang w:val="hr-HR"/>
        </w:rPr>
        <w:t>kao holding fondovi</w:t>
      </w:r>
      <w:r w:rsidRPr="00EA7FD9">
        <w:rPr>
          <w:rFonts w:ascii="Calibri" w:hAnsi="Calibri" w:cs="Calibri"/>
          <w:lang w:val="hr-HR"/>
        </w:rPr>
        <w:t xml:space="preserve"> </w:t>
      </w:r>
      <w:r>
        <w:rPr>
          <w:rFonts w:ascii="Calibri" w:hAnsi="Calibri" w:cs="Calibri"/>
          <w:lang w:val="hr-HR"/>
        </w:rPr>
        <w:t xml:space="preserve">u razdoblju </w:t>
      </w:r>
      <w:r w:rsidRPr="00EA7FD9">
        <w:rPr>
          <w:rFonts w:ascii="Calibri" w:hAnsi="Calibri" w:cs="Calibri"/>
          <w:lang w:val="hr-HR"/>
        </w:rPr>
        <w:t>2014</w:t>
      </w:r>
      <w:r>
        <w:rPr>
          <w:rFonts w:ascii="Calibri" w:hAnsi="Calibri" w:cs="Calibri"/>
          <w:lang w:val="hr-HR"/>
        </w:rPr>
        <w:t>.</w:t>
      </w:r>
      <w:r w:rsidRPr="00EA7FD9">
        <w:rPr>
          <w:rFonts w:ascii="Calibri" w:hAnsi="Calibri" w:cs="Calibri"/>
          <w:lang w:val="hr-HR"/>
        </w:rPr>
        <w:t>-2020</w:t>
      </w:r>
      <w:r>
        <w:rPr>
          <w:rFonts w:ascii="Calibri" w:hAnsi="Calibri" w:cs="Calibri"/>
          <w:lang w:val="hr-HR"/>
        </w:rPr>
        <w:t>.,</w:t>
      </w:r>
      <w:r w:rsidRPr="00EA7FD9">
        <w:rPr>
          <w:rFonts w:ascii="Calibri" w:hAnsi="Calibri" w:cs="Calibri"/>
          <w:lang w:val="hr-HR"/>
        </w:rPr>
        <w:t xml:space="preserve"> </w:t>
      </w:r>
      <w:r>
        <w:rPr>
          <w:rFonts w:ascii="Calibri" w:hAnsi="Calibri" w:cs="Calibri"/>
          <w:lang w:val="hr-HR"/>
        </w:rPr>
        <w:t>poznati kao</w:t>
      </w:r>
      <w:r w:rsidRPr="00EA7FD9">
        <w:rPr>
          <w:rFonts w:ascii="Calibri" w:hAnsi="Calibri" w:cs="Calibri"/>
          <w:lang w:val="hr-HR"/>
        </w:rPr>
        <w:t xml:space="preserve"> ‘</w:t>
      </w:r>
      <w:r w:rsidRPr="00892659">
        <w:rPr>
          <w:rFonts w:ascii="Calibri" w:hAnsi="Calibri" w:cs="Calibri"/>
          <w:lang w:val="hr-HR"/>
        </w:rPr>
        <w:t>fond fondova’.</w:t>
      </w:r>
      <w:r w:rsidRPr="00EA7FD9">
        <w:rPr>
          <w:rFonts w:ascii="Calibri" w:hAnsi="Calibri" w:cs="Calibri"/>
          <w:lang w:val="hr-HR"/>
        </w:rPr>
        <w:t xml:space="preserve"> Pristup </w:t>
      </w:r>
      <w:r>
        <w:rPr>
          <w:rFonts w:ascii="Calibri" w:hAnsi="Calibri" w:cs="Calibri"/>
          <w:lang w:val="hr-HR"/>
        </w:rPr>
        <w:t>'fond fondova'</w:t>
      </w:r>
      <w:r w:rsidRPr="00EA7FD9">
        <w:rPr>
          <w:rFonts w:ascii="Calibri" w:hAnsi="Calibri" w:cs="Calibri"/>
          <w:lang w:val="hr-HR"/>
        </w:rPr>
        <w:t xml:space="preserve"> pruža veću fleksibilnost, omogućujući </w:t>
      </w:r>
      <w:r>
        <w:rPr>
          <w:rFonts w:ascii="Calibri" w:hAnsi="Calibri" w:cs="Calibri"/>
          <w:lang w:val="hr-HR"/>
        </w:rPr>
        <w:t>upraviteljima fonda</w:t>
      </w:r>
      <w:r w:rsidRPr="00EA7FD9">
        <w:rPr>
          <w:rFonts w:ascii="Calibri" w:hAnsi="Calibri" w:cs="Calibri"/>
          <w:lang w:val="hr-HR"/>
        </w:rPr>
        <w:t xml:space="preserve"> u državi članici </w:t>
      </w:r>
      <w:r w:rsidRPr="00E66391">
        <w:rPr>
          <w:rFonts w:ascii="Calibri" w:hAnsi="Calibri" w:cs="Calibri"/>
          <w:lang w:val="hr-HR"/>
        </w:rPr>
        <w:t>prebacivanje sredstava</w:t>
      </w:r>
      <w:r w:rsidRPr="00EA7FD9">
        <w:rPr>
          <w:rFonts w:ascii="Calibri" w:hAnsi="Calibri" w:cs="Calibri"/>
          <w:lang w:val="hr-HR"/>
        </w:rPr>
        <w:t xml:space="preserve"> između </w:t>
      </w:r>
      <w:r w:rsidRPr="00E66391">
        <w:rPr>
          <w:rFonts w:ascii="Calibri" w:hAnsi="Calibri" w:cs="Calibri"/>
          <w:lang w:val="hr-HR"/>
        </w:rPr>
        <w:t>različitih fondova</w:t>
      </w:r>
      <w:r>
        <w:rPr>
          <w:rFonts w:ascii="Calibri" w:hAnsi="Calibri" w:cs="Calibri"/>
          <w:lang w:val="hr-HR"/>
        </w:rPr>
        <w:t xml:space="preserve"> za urbani razvoj</w:t>
      </w:r>
      <w:r w:rsidRPr="00EA7FD9">
        <w:rPr>
          <w:rFonts w:ascii="Calibri" w:hAnsi="Calibri" w:cs="Calibri"/>
          <w:lang w:val="hr-HR"/>
        </w:rPr>
        <w:t xml:space="preserve"> u cilju boljeg sučeljavanja s promjenjivim tržišnim uvjetima te optimalnog </w:t>
      </w:r>
      <w:r>
        <w:rPr>
          <w:rFonts w:ascii="Calibri" w:hAnsi="Calibri" w:cs="Calibri"/>
          <w:lang w:val="hr-HR"/>
        </w:rPr>
        <w:t>korištenja</w:t>
      </w:r>
      <w:r w:rsidRPr="00EA7FD9">
        <w:rPr>
          <w:rFonts w:ascii="Calibri" w:hAnsi="Calibri" w:cs="Calibri"/>
          <w:lang w:val="hr-HR"/>
        </w:rPr>
        <w:t xml:space="preserve"> novih prilika.</w:t>
      </w:r>
    </w:p>
    <w:p w14:paraId="5AB5ED63" w14:textId="77777777" w:rsidR="00132E7D" w:rsidRPr="00EA7FD9" w:rsidRDefault="00132E7D" w:rsidP="00F030D3">
      <w:pPr>
        <w:spacing w:before="40" w:after="40" w:line="300" w:lineRule="auto"/>
        <w:rPr>
          <w:rFonts w:ascii="Calibri" w:hAnsi="Calibri" w:cs="Calibri"/>
          <w:lang w:val="hr-HR"/>
        </w:rPr>
      </w:pPr>
    </w:p>
    <w:p w14:paraId="1060DFE3" w14:textId="77777777" w:rsidR="00132E7D" w:rsidRPr="00EA7FD9" w:rsidRDefault="00132E7D" w:rsidP="00F030D3">
      <w:pPr>
        <w:spacing w:before="40" w:after="40" w:line="300" w:lineRule="auto"/>
        <w:rPr>
          <w:rFonts w:ascii="Calibri" w:hAnsi="Calibri" w:cs="Calibri"/>
          <w:b/>
          <w:bCs/>
          <w:i/>
          <w:iCs/>
          <w:lang w:val="hr-HR"/>
        </w:rPr>
      </w:pPr>
      <w:r w:rsidRPr="00EA7FD9">
        <w:rPr>
          <w:rFonts w:ascii="Calibri" w:hAnsi="Calibri" w:cs="Calibri"/>
          <w:b/>
          <w:bCs/>
          <w:i/>
          <w:iCs/>
          <w:lang w:val="hr-HR"/>
        </w:rPr>
        <w:t>Regulatorni zahtjevi za financijske instrumente JESSICA u razdoblju 2014.-2020.</w:t>
      </w:r>
    </w:p>
    <w:p w14:paraId="6F79B0AC" w14:textId="77777777" w:rsidR="00132E7D" w:rsidRPr="00EA7FD9" w:rsidRDefault="00132E7D" w:rsidP="00F030D3">
      <w:pPr>
        <w:spacing w:before="40" w:after="40" w:line="300" w:lineRule="auto"/>
        <w:rPr>
          <w:rFonts w:ascii="Calibri" w:hAnsi="Calibri" w:cs="Calibri"/>
          <w:lang w:val="hr-HR"/>
        </w:rPr>
      </w:pPr>
      <w:r w:rsidRPr="00EA7FD9">
        <w:rPr>
          <w:rFonts w:ascii="Calibri" w:hAnsi="Calibri" w:cs="Calibri"/>
          <w:lang w:val="hr-HR"/>
        </w:rPr>
        <w:t xml:space="preserve">Glavni regulatorni zahtjevi za financijske instrumente u razdoblju 2014.-2020. izneseni su u člancima 37.-46. </w:t>
      </w:r>
      <w:r>
        <w:rPr>
          <w:rFonts w:ascii="Calibri" w:hAnsi="Calibri" w:cs="Calibri"/>
          <w:lang w:val="hr-HR"/>
        </w:rPr>
        <w:t>Uredbe o utvrđivanju zajedničkih odredbi br.</w:t>
      </w:r>
      <w:r w:rsidRPr="00EA7FD9">
        <w:rPr>
          <w:rFonts w:ascii="Calibri" w:hAnsi="Calibri" w:cs="Calibri"/>
          <w:lang w:val="hr-HR"/>
        </w:rPr>
        <w:t xml:space="preserve"> 1303/2013 – koji se u velikoj mjeri primjenjuju na instrumente </w:t>
      </w:r>
      <w:r>
        <w:rPr>
          <w:rFonts w:ascii="Calibri" w:hAnsi="Calibri" w:cs="Calibri"/>
          <w:lang w:val="hr-HR"/>
        </w:rPr>
        <w:t>poput</w:t>
      </w:r>
      <w:r w:rsidRPr="00EA7FD9">
        <w:rPr>
          <w:rFonts w:ascii="Calibri" w:hAnsi="Calibri" w:cs="Calibri"/>
          <w:lang w:val="hr-HR"/>
        </w:rPr>
        <w:t xml:space="preserve"> JESSICA</w:t>
      </w:r>
      <w:r>
        <w:rPr>
          <w:rFonts w:ascii="Calibri" w:hAnsi="Calibri" w:cs="Calibri"/>
          <w:lang w:val="hr-HR"/>
        </w:rPr>
        <w:t>-e</w:t>
      </w:r>
      <w:r w:rsidRPr="00EA7FD9">
        <w:rPr>
          <w:rFonts w:ascii="Calibri" w:hAnsi="Calibri" w:cs="Calibri"/>
          <w:lang w:val="hr-HR"/>
        </w:rPr>
        <w:t xml:space="preserve">. Tu je i </w:t>
      </w:r>
      <w:r>
        <w:rPr>
          <w:rFonts w:ascii="Calibri" w:hAnsi="Calibri" w:cs="Calibri"/>
          <w:lang w:val="hr-HR"/>
        </w:rPr>
        <w:t>nacrt</w:t>
      </w:r>
      <w:r w:rsidRPr="00EA7FD9">
        <w:rPr>
          <w:rFonts w:ascii="Calibri" w:hAnsi="Calibri" w:cs="Calibri"/>
          <w:lang w:val="hr-HR"/>
        </w:rPr>
        <w:t xml:space="preserve"> </w:t>
      </w:r>
      <w:r w:rsidRPr="00A66C10">
        <w:rPr>
          <w:rFonts w:ascii="Calibri" w:hAnsi="Calibri" w:cs="Calibri"/>
          <w:lang w:val="hr-HR"/>
        </w:rPr>
        <w:t>provedbenog akta</w:t>
      </w:r>
      <w:r w:rsidRPr="00A66C10">
        <w:rPr>
          <w:rStyle w:val="FootnoteReference"/>
          <w:rFonts w:ascii="Calibri" w:hAnsi="Calibri" w:cs="Calibri"/>
          <w:lang w:val="hr-HR"/>
        </w:rPr>
        <w:footnoteReference w:id="1"/>
      </w:r>
      <w:r w:rsidRPr="00A66C10">
        <w:rPr>
          <w:rFonts w:ascii="Calibri" w:hAnsi="Calibri" w:cs="Calibri"/>
          <w:lang w:val="hr-HR"/>
        </w:rPr>
        <w:t xml:space="preserve"> o kojem</w:t>
      </w:r>
      <w:r w:rsidRPr="00EA7FD9">
        <w:rPr>
          <w:rFonts w:ascii="Calibri" w:hAnsi="Calibri" w:cs="Calibri"/>
          <w:lang w:val="hr-HR"/>
        </w:rPr>
        <w:t xml:space="preserve"> se trenut</w:t>
      </w:r>
      <w:r>
        <w:rPr>
          <w:rFonts w:ascii="Calibri" w:hAnsi="Calibri" w:cs="Calibri"/>
          <w:lang w:val="hr-HR"/>
        </w:rPr>
        <w:t>ač</w:t>
      </w:r>
      <w:r w:rsidRPr="00EA7FD9">
        <w:rPr>
          <w:rFonts w:ascii="Calibri" w:hAnsi="Calibri" w:cs="Calibri"/>
          <w:lang w:val="hr-HR"/>
        </w:rPr>
        <w:t xml:space="preserve">no vodi </w:t>
      </w:r>
      <w:r w:rsidRPr="00EA7FD9">
        <w:rPr>
          <w:rFonts w:ascii="Calibri" w:hAnsi="Calibri" w:cs="Calibri"/>
          <w:lang w:val="hr-HR"/>
        </w:rPr>
        <w:lastRenderedPageBreak/>
        <w:t xml:space="preserve">rasprava u novom </w:t>
      </w:r>
      <w:r>
        <w:rPr>
          <w:rFonts w:ascii="Calibri" w:hAnsi="Calibri" w:cs="Calibri"/>
          <w:lang w:val="hr-HR"/>
        </w:rPr>
        <w:t>Koordinacijskom odboru</w:t>
      </w:r>
      <w:r w:rsidRPr="00EA7FD9">
        <w:rPr>
          <w:rFonts w:ascii="Calibri" w:hAnsi="Calibri" w:cs="Calibri"/>
          <w:lang w:val="hr-HR"/>
        </w:rPr>
        <w:t xml:space="preserve"> </w:t>
      </w:r>
      <w:r>
        <w:rPr>
          <w:rFonts w:ascii="Calibri" w:hAnsi="Calibri" w:cs="Calibri"/>
          <w:lang w:val="hr-HR"/>
        </w:rPr>
        <w:t>za Europske strukturne i investicijske fondove</w:t>
      </w:r>
      <w:r w:rsidRPr="00EA7FD9">
        <w:rPr>
          <w:rFonts w:ascii="Calibri" w:hAnsi="Calibri" w:cs="Calibri"/>
          <w:lang w:val="hr-HR"/>
        </w:rPr>
        <w:t xml:space="preserve">, </w:t>
      </w:r>
      <w:r>
        <w:rPr>
          <w:rFonts w:ascii="Calibri" w:hAnsi="Calibri" w:cs="Calibri"/>
          <w:lang w:val="hr-HR"/>
        </w:rPr>
        <w:t>a koji posebno razrađuje</w:t>
      </w:r>
      <w:r w:rsidRPr="00EA7FD9">
        <w:rPr>
          <w:rFonts w:ascii="Calibri" w:hAnsi="Calibri" w:cs="Calibri"/>
          <w:lang w:val="hr-HR"/>
        </w:rPr>
        <w:t>:</w:t>
      </w:r>
    </w:p>
    <w:p w14:paraId="2A7BB2F1" w14:textId="77777777" w:rsidR="00132E7D" w:rsidRDefault="00132E7D" w:rsidP="00F030D3">
      <w:pPr>
        <w:pStyle w:val="ListParagraph"/>
        <w:numPr>
          <w:ilvl w:val="0"/>
          <w:numId w:val="40"/>
        </w:numPr>
        <w:spacing w:before="40" w:after="40" w:line="300" w:lineRule="auto"/>
        <w:rPr>
          <w:rFonts w:ascii="Calibri" w:hAnsi="Calibri" w:cs="Calibri"/>
          <w:lang w:val="hr-HR"/>
        </w:rPr>
      </w:pPr>
      <w:r w:rsidRPr="00892659">
        <w:rPr>
          <w:rFonts w:ascii="Calibri" w:hAnsi="Calibri" w:cs="Calibri"/>
          <w:lang w:val="hr-HR"/>
        </w:rPr>
        <w:t>čl. 38. (3.) Uredbe o utvrđivanju zajedničkih odredbi – usklađenost financijskih instrumenata sa standardnim uvjetima</w:t>
      </w:r>
      <w:r>
        <w:rPr>
          <w:rFonts w:ascii="Calibri" w:hAnsi="Calibri" w:cs="Calibri"/>
          <w:lang w:val="hr-HR"/>
        </w:rPr>
        <w:t>;</w:t>
      </w:r>
    </w:p>
    <w:p w14:paraId="668C9626" w14:textId="77777777" w:rsidR="00132E7D" w:rsidRPr="00892659" w:rsidRDefault="00132E7D" w:rsidP="00F030D3">
      <w:pPr>
        <w:pStyle w:val="ListParagraph"/>
        <w:numPr>
          <w:ilvl w:val="0"/>
          <w:numId w:val="40"/>
        </w:numPr>
        <w:spacing w:before="40" w:after="40" w:line="300" w:lineRule="auto"/>
        <w:rPr>
          <w:rFonts w:ascii="Calibri" w:hAnsi="Calibri" w:cs="Calibri"/>
          <w:lang w:val="hr-HR"/>
        </w:rPr>
      </w:pPr>
      <w:r w:rsidRPr="00892659">
        <w:rPr>
          <w:rFonts w:ascii="Calibri" w:hAnsi="Calibri" w:cs="Calibri"/>
          <w:lang w:val="hr-HR"/>
        </w:rPr>
        <w:t xml:space="preserve">čl. 38. (10.) Uredbe o utvrđivanju zajedničkih odredbi – </w:t>
      </w:r>
      <w:r>
        <w:rPr>
          <w:rFonts w:ascii="Calibri" w:hAnsi="Calibri" w:cs="Calibri"/>
          <w:lang w:val="hr-HR"/>
        </w:rPr>
        <w:t xml:space="preserve">financijski instrumenti </w:t>
      </w:r>
      <w:r w:rsidRPr="00892659">
        <w:rPr>
          <w:rFonts w:ascii="Calibri" w:hAnsi="Calibri" w:cs="Calibri"/>
          <w:lang w:val="hr-HR"/>
        </w:rPr>
        <w:t xml:space="preserve">– </w:t>
      </w:r>
      <w:r>
        <w:rPr>
          <w:rFonts w:ascii="Calibri" w:hAnsi="Calibri" w:cs="Calibri"/>
          <w:lang w:val="hr-HR"/>
        </w:rPr>
        <w:t>aranžmani</w:t>
      </w:r>
      <w:r w:rsidRPr="00892659">
        <w:rPr>
          <w:rFonts w:ascii="Calibri" w:hAnsi="Calibri" w:cs="Calibri"/>
          <w:lang w:val="hr-HR"/>
        </w:rPr>
        <w:t xml:space="preserve">, </w:t>
      </w:r>
      <w:r>
        <w:rPr>
          <w:rFonts w:ascii="Calibri" w:hAnsi="Calibri" w:cs="Calibri"/>
          <w:lang w:val="hr-HR"/>
        </w:rPr>
        <w:t>prijenos i upravljanje doprinosima;</w:t>
      </w:r>
    </w:p>
    <w:p w14:paraId="3A691E66" w14:textId="77777777" w:rsidR="00132E7D" w:rsidRPr="00EA7FD9" w:rsidRDefault="00132E7D" w:rsidP="00F030D3">
      <w:pPr>
        <w:pStyle w:val="ListParagraph"/>
        <w:numPr>
          <w:ilvl w:val="0"/>
          <w:numId w:val="40"/>
        </w:numPr>
        <w:spacing w:before="40" w:after="40" w:line="300" w:lineRule="auto"/>
        <w:rPr>
          <w:rFonts w:ascii="Calibri" w:hAnsi="Calibri" w:cs="Calibri"/>
          <w:lang w:val="hr-HR"/>
        </w:rPr>
      </w:pPr>
      <w:r>
        <w:rPr>
          <w:rFonts w:ascii="Calibri" w:hAnsi="Calibri" w:cs="Calibri"/>
          <w:lang w:val="hr-HR"/>
        </w:rPr>
        <w:t>čl</w:t>
      </w:r>
      <w:r w:rsidRPr="00EA7FD9">
        <w:rPr>
          <w:rFonts w:ascii="Calibri" w:hAnsi="Calibri" w:cs="Calibri"/>
          <w:lang w:val="hr-HR"/>
        </w:rPr>
        <w:t>. 40</w:t>
      </w:r>
      <w:r>
        <w:rPr>
          <w:rFonts w:ascii="Calibri" w:hAnsi="Calibri" w:cs="Calibri"/>
          <w:lang w:val="hr-HR"/>
        </w:rPr>
        <w:t>.</w:t>
      </w:r>
      <w:r w:rsidRPr="00EA7FD9">
        <w:rPr>
          <w:rFonts w:ascii="Calibri" w:hAnsi="Calibri" w:cs="Calibri"/>
          <w:lang w:val="hr-HR"/>
        </w:rPr>
        <w:t xml:space="preserve"> (3</w:t>
      </w:r>
      <w:r>
        <w:rPr>
          <w:rFonts w:ascii="Calibri" w:hAnsi="Calibri" w:cs="Calibri"/>
          <w:lang w:val="hr-HR"/>
        </w:rPr>
        <w:t>.</w:t>
      </w:r>
      <w:r w:rsidRPr="00EA7FD9">
        <w:rPr>
          <w:rFonts w:ascii="Calibri" w:hAnsi="Calibri" w:cs="Calibri"/>
          <w:lang w:val="hr-HR"/>
        </w:rPr>
        <w:t>)</w:t>
      </w:r>
      <w:r w:rsidRPr="00892659">
        <w:rPr>
          <w:rFonts w:ascii="Calibri" w:hAnsi="Calibri" w:cs="Calibri"/>
          <w:lang w:val="hr-HR"/>
        </w:rPr>
        <w:t xml:space="preserve"> </w:t>
      </w:r>
      <w:r>
        <w:rPr>
          <w:rFonts w:ascii="Calibri" w:hAnsi="Calibri" w:cs="Calibri"/>
          <w:lang w:val="hr-HR"/>
        </w:rPr>
        <w:t>Uredbe o</w:t>
      </w:r>
      <w:r w:rsidRPr="00EA7FD9">
        <w:rPr>
          <w:rFonts w:ascii="Calibri" w:hAnsi="Calibri" w:cs="Calibri"/>
          <w:lang w:val="hr-HR"/>
        </w:rPr>
        <w:t xml:space="preserve"> </w:t>
      </w:r>
      <w:r>
        <w:rPr>
          <w:rFonts w:ascii="Calibri" w:hAnsi="Calibri" w:cs="Calibri"/>
          <w:lang w:val="hr-HR"/>
        </w:rPr>
        <w:t>utvrđivanju zajedničkih odredbi</w:t>
      </w:r>
      <w:r w:rsidRPr="00EA7FD9">
        <w:rPr>
          <w:rFonts w:ascii="Calibri" w:hAnsi="Calibri" w:cs="Calibri"/>
          <w:lang w:val="hr-HR"/>
        </w:rPr>
        <w:t xml:space="preserve"> – </w:t>
      </w:r>
      <w:r>
        <w:rPr>
          <w:rFonts w:ascii="Calibri" w:hAnsi="Calibri" w:cs="Calibri"/>
          <w:lang w:val="hr-HR"/>
        </w:rPr>
        <w:t>izvješće o provedbi financijskih instrumenata</w:t>
      </w:r>
      <w:r w:rsidRPr="00EA7FD9">
        <w:rPr>
          <w:rFonts w:ascii="Calibri" w:hAnsi="Calibri" w:cs="Calibri"/>
          <w:lang w:val="hr-HR"/>
        </w:rPr>
        <w:t>.</w:t>
      </w:r>
    </w:p>
    <w:p w14:paraId="6DC00CCA" w14:textId="50EC2DB1" w:rsidR="00132E7D" w:rsidRPr="00EA7FD9" w:rsidRDefault="00132E7D" w:rsidP="00F030D3">
      <w:pPr>
        <w:spacing w:before="40" w:after="40" w:line="300" w:lineRule="auto"/>
        <w:rPr>
          <w:rFonts w:ascii="Calibri" w:hAnsi="Calibri" w:cs="Calibri"/>
          <w:lang w:val="hr-HR"/>
        </w:rPr>
      </w:pPr>
      <w:r w:rsidRPr="00EA7FD9">
        <w:rPr>
          <w:rFonts w:ascii="Calibri" w:hAnsi="Calibri" w:cs="Calibri"/>
          <w:lang w:val="hr-HR"/>
        </w:rPr>
        <w:t xml:space="preserve">Nakon usvajanja, </w:t>
      </w:r>
      <w:r>
        <w:rPr>
          <w:rFonts w:ascii="Calibri" w:hAnsi="Calibri" w:cs="Calibri"/>
          <w:lang w:val="hr-HR"/>
        </w:rPr>
        <w:t>provedbeni će akt</w:t>
      </w:r>
      <w:r w:rsidRPr="00EA7FD9">
        <w:rPr>
          <w:rFonts w:ascii="Calibri" w:hAnsi="Calibri" w:cs="Calibri"/>
          <w:lang w:val="hr-HR"/>
        </w:rPr>
        <w:t xml:space="preserve"> obuhvaćati detaljne aspekte poput </w:t>
      </w:r>
      <w:r w:rsidRPr="00697E3D">
        <w:rPr>
          <w:rFonts w:ascii="Calibri" w:hAnsi="Calibri" w:cs="Calibri"/>
          <w:lang w:val="hr-HR"/>
        </w:rPr>
        <w:t>prihvatljivosti,</w:t>
      </w:r>
      <w:r w:rsidRPr="00EA7FD9">
        <w:rPr>
          <w:rFonts w:ascii="Calibri" w:hAnsi="Calibri" w:cs="Calibri"/>
          <w:lang w:val="hr-HR"/>
        </w:rPr>
        <w:t xml:space="preserve"> financijskog upravljanja i kontrole te odabira i na</w:t>
      </w:r>
      <w:r>
        <w:rPr>
          <w:rFonts w:ascii="Calibri" w:hAnsi="Calibri" w:cs="Calibri"/>
          <w:lang w:val="hr-HR"/>
        </w:rPr>
        <w:t>knada tijelima</w:t>
      </w:r>
      <w:r w:rsidRPr="00EA7FD9">
        <w:rPr>
          <w:rFonts w:ascii="Calibri" w:hAnsi="Calibri" w:cs="Calibri"/>
          <w:lang w:val="hr-HR"/>
        </w:rPr>
        <w:t xml:space="preserve"> za upravljanje fondovima, kao i ograničeni broj ‘</w:t>
      </w:r>
      <w:r w:rsidRPr="00100100">
        <w:rPr>
          <w:rFonts w:ascii="Calibri" w:hAnsi="Calibri" w:cs="Calibri"/>
          <w:i/>
          <w:iCs/>
          <w:lang w:val="hr-HR"/>
        </w:rPr>
        <w:t>off-the-shelf</w:t>
      </w:r>
      <w:r w:rsidRPr="00EA7FD9">
        <w:rPr>
          <w:rFonts w:ascii="Calibri" w:hAnsi="Calibri" w:cs="Calibri"/>
          <w:lang w:val="hr-HR"/>
        </w:rPr>
        <w:t>‘ instrumenata. Jedan od četiri predložen</w:t>
      </w:r>
      <w:r>
        <w:rPr>
          <w:rFonts w:ascii="Calibri" w:hAnsi="Calibri" w:cs="Calibri"/>
          <w:lang w:val="hr-HR"/>
        </w:rPr>
        <w:t>a</w:t>
      </w:r>
      <w:r w:rsidRPr="00EA7FD9">
        <w:rPr>
          <w:rFonts w:ascii="Calibri" w:hAnsi="Calibri" w:cs="Calibri"/>
          <w:lang w:val="hr-HR"/>
        </w:rPr>
        <w:t xml:space="preserve"> </w:t>
      </w:r>
      <w:r w:rsidRPr="00100100">
        <w:rPr>
          <w:rFonts w:ascii="Calibri" w:hAnsi="Calibri" w:cs="Calibri"/>
          <w:i/>
          <w:iCs/>
          <w:lang w:val="hr-HR"/>
        </w:rPr>
        <w:t>’off-the-shelf</w:t>
      </w:r>
      <w:r w:rsidRPr="00EA7FD9">
        <w:rPr>
          <w:rFonts w:ascii="Calibri" w:hAnsi="Calibri" w:cs="Calibri"/>
          <w:lang w:val="hr-HR"/>
        </w:rPr>
        <w:t xml:space="preserve">’ instrumenata tiče se </w:t>
      </w:r>
      <w:r w:rsidRPr="00EA7FD9">
        <w:rPr>
          <w:rFonts w:ascii="Calibri" w:hAnsi="Calibri" w:cs="Calibri"/>
          <w:b/>
          <w:bCs/>
          <w:i/>
          <w:iCs/>
          <w:lang w:val="hr-HR"/>
        </w:rPr>
        <w:t>zajmova</w:t>
      </w:r>
      <w:r w:rsidRPr="00EA7FD9">
        <w:rPr>
          <w:rFonts w:ascii="Calibri" w:hAnsi="Calibri" w:cs="Calibri"/>
          <w:lang w:val="hr-HR"/>
        </w:rPr>
        <w:t xml:space="preserve"> za projekte energetske učinkovitosti ili </w:t>
      </w:r>
      <w:r>
        <w:rPr>
          <w:rFonts w:ascii="Calibri" w:hAnsi="Calibri" w:cs="Calibri"/>
          <w:lang w:val="hr-HR"/>
        </w:rPr>
        <w:t>obnovljivih izvora energije</w:t>
      </w:r>
      <w:r w:rsidRPr="00EA7FD9">
        <w:rPr>
          <w:rFonts w:ascii="Calibri" w:hAnsi="Calibri" w:cs="Calibri"/>
          <w:lang w:val="hr-HR"/>
        </w:rPr>
        <w:t xml:space="preserve"> u sektoru stambene gradnje.</w:t>
      </w:r>
    </w:p>
    <w:p w14:paraId="7BB78423" w14:textId="77777777" w:rsidR="00132E7D" w:rsidRPr="00EA7FD9" w:rsidRDefault="00132E7D" w:rsidP="00F030D3">
      <w:pPr>
        <w:spacing w:before="40" w:after="40" w:line="300" w:lineRule="auto"/>
        <w:rPr>
          <w:rFonts w:ascii="EUAlbertina" w:hAnsi="EUAlbertina" w:cs="EUAlbertina"/>
          <w:color w:val="000000"/>
          <w:sz w:val="24"/>
          <w:szCs w:val="24"/>
          <w:lang w:val="hr-HR"/>
        </w:rPr>
      </w:pPr>
      <w:r w:rsidRPr="00EA7FD9">
        <w:rPr>
          <w:rFonts w:ascii="Calibri" w:hAnsi="Calibri" w:cs="Calibri"/>
          <w:lang w:val="hr-HR"/>
        </w:rPr>
        <w:t xml:space="preserve">Jedna od ključnih razlika u odnosu na razdoblje 2007.-2013. je zahtjev za </w:t>
      </w:r>
      <w:r w:rsidRPr="00EA7FD9">
        <w:rPr>
          <w:rFonts w:ascii="Calibri" w:hAnsi="Calibri" w:cs="Calibri"/>
          <w:b/>
          <w:bCs/>
          <w:lang w:val="hr-HR"/>
        </w:rPr>
        <w:t>detaljnom ex-ante procjenom</w:t>
      </w:r>
      <w:r>
        <w:rPr>
          <w:rFonts w:ascii="Calibri" w:hAnsi="Calibri" w:cs="Calibri"/>
          <w:b/>
          <w:bCs/>
          <w:lang w:val="hr-HR"/>
        </w:rPr>
        <w:t>,</w:t>
      </w:r>
      <w:r w:rsidRPr="00EA7FD9">
        <w:rPr>
          <w:rFonts w:ascii="Calibri" w:hAnsi="Calibri" w:cs="Calibri"/>
          <w:lang w:val="hr-HR"/>
        </w:rPr>
        <w:t xml:space="preserve"> prije uspostave novog financijskog instrumenta. Prema čl. 37. </w:t>
      </w:r>
      <w:r>
        <w:rPr>
          <w:rFonts w:ascii="Calibri" w:hAnsi="Calibri" w:cs="Calibri"/>
          <w:lang w:val="hr-HR"/>
        </w:rPr>
        <w:t>Uredbe o</w:t>
      </w:r>
      <w:r w:rsidRPr="00EA7FD9">
        <w:rPr>
          <w:rFonts w:ascii="Calibri" w:hAnsi="Calibri" w:cs="Calibri"/>
          <w:lang w:val="hr-HR"/>
        </w:rPr>
        <w:t xml:space="preserve"> </w:t>
      </w:r>
      <w:r>
        <w:rPr>
          <w:rFonts w:ascii="Calibri" w:hAnsi="Calibri" w:cs="Calibri"/>
          <w:lang w:val="hr-HR"/>
        </w:rPr>
        <w:t>utvrđivanju zajedničkih odredbi</w:t>
      </w:r>
      <w:r w:rsidRPr="00EA7FD9">
        <w:rPr>
          <w:rFonts w:ascii="Calibri" w:hAnsi="Calibri" w:cs="Calibri"/>
          <w:lang w:val="hr-HR"/>
        </w:rPr>
        <w:t xml:space="preserve">, ex-ante procjena mora obuhvaćati sljedeće elemente: </w:t>
      </w:r>
    </w:p>
    <w:p w14:paraId="4A551C23" w14:textId="77777777" w:rsidR="00132E7D" w:rsidRPr="00EA7FD9" w:rsidRDefault="00132E7D" w:rsidP="00F030D3">
      <w:pPr>
        <w:pStyle w:val="ListParagraph"/>
        <w:numPr>
          <w:ilvl w:val="0"/>
          <w:numId w:val="20"/>
        </w:numPr>
        <w:autoSpaceDE w:val="0"/>
        <w:autoSpaceDN w:val="0"/>
        <w:adjustRightInd w:val="0"/>
        <w:spacing w:before="40" w:after="40" w:line="300" w:lineRule="auto"/>
        <w:ind w:left="360"/>
        <w:rPr>
          <w:rFonts w:ascii="Calibri" w:hAnsi="Calibri" w:cs="Calibri"/>
          <w:color w:val="19161B"/>
          <w:lang w:val="hr-HR"/>
        </w:rPr>
      </w:pPr>
      <w:r w:rsidRPr="00EA7FD9">
        <w:rPr>
          <w:rFonts w:ascii="Calibri" w:hAnsi="Calibri" w:cs="Calibri"/>
          <w:color w:val="19161B"/>
          <w:lang w:val="hr-HR"/>
        </w:rPr>
        <w:t xml:space="preserve">analizu </w:t>
      </w:r>
      <w:r>
        <w:rPr>
          <w:rFonts w:ascii="Calibri" w:hAnsi="Calibri" w:cs="Calibri"/>
          <w:color w:val="19161B"/>
          <w:lang w:val="hr-HR"/>
        </w:rPr>
        <w:t>tržišnih nedostataka</w:t>
      </w:r>
      <w:r w:rsidRPr="00EA7FD9">
        <w:rPr>
          <w:rFonts w:ascii="Calibri" w:hAnsi="Calibri" w:cs="Calibri"/>
          <w:color w:val="19161B"/>
          <w:lang w:val="hr-HR"/>
        </w:rPr>
        <w:t xml:space="preserve">, </w:t>
      </w:r>
      <w:r>
        <w:rPr>
          <w:rFonts w:ascii="Calibri" w:hAnsi="Calibri" w:cs="Calibri"/>
          <w:color w:val="19161B"/>
          <w:lang w:val="hr-HR"/>
        </w:rPr>
        <w:t>neoptimalnih situacija za ulaganja</w:t>
      </w:r>
      <w:r w:rsidRPr="00EA7FD9">
        <w:rPr>
          <w:rFonts w:ascii="Calibri" w:hAnsi="Calibri" w:cs="Calibri"/>
          <w:color w:val="19161B"/>
          <w:lang w:val="hr-HR"/>
        </w:rPr>
        <w:t xml:space="preserve"> te</w:t>
      </w:r>
      <w:r>
        <w:rPr>
          <w:rFonts w:ascii="Calibri" w:hAnsi="Calibri" w:cs="Calibri"/>
          <w:color w:val="19161B"/>
          <w:lang w:val="hr-HR"/>
        </w:rPr>
        <w:t xml:space="preserve"> potreba za ulaganjima za područja politika</w:t>
      </w:r>
      <w:r w:rsidRPr="00EA7FD9">
        <w:rPr>
          <w:rFonts w:ascii="Calibri" w:hAnsi="Calibri" w:cs="Calibri"/>
          <w:color w:val="19161B"/>
          <w:lang w:val="hr-HR"/>
        </w:rPr>
        <w:t xml:space="preserve"> koje će instrument obuhvaćati</w:t>
      </w:r>
      <w:r>
        <w:rPr>
          <w:rFonts w:ascii="Calibri" w:hAnsi="Calibri" w:cs="Calibri"/>
          <w:color w:val="19161B"/>
          <w:lang w:val="hr-HR"/>
        </w:rPr>
        <w:t>;</w:t>
      </w:r>
    </w:p>
    <w:p w14:paraId="3E255A6F" w14:textId="77777777" w:rsidR="00132E7D" w:rsidRPr="00EA7FD9" w:rsidRDefault="00132E7D" w:rsidP="00F030D3">
      <w:pPr>
        <w:pStyle w:val="ListParagraph"/>
        <w:numPr>
          <w:ilvl w:val="0"/>
          <w:numId w:val="20"/>
        </w:numPr>
        <w:autoSpaceDE w:val="0"/>
        <w:autoSpaceDN w:val="0"/>
        <w:adjustRightInd w:val="0"/>
        <w:spacing w:before="40" w:after="40" w:line="300" w:lineRule="auto"/>
        <w:ind w:left="360"/>
        <w:rPr>
          <w:rFonts w:ascii="Calibri" w:hAnsi="Calibri" w:cs="Calibri"/>
          <w:color w:val="19161B"/>
          <w:lang w:val="hr-HR"/>
        </w:rPr>
      </w:pPr>
      <w:r w:rsidRPr="00EA7FD9">
        <w:rPr>
          <w:rFonts w:ascii="Calibri" w:hAnsi="Calibri" w:cs="Calibri"/>
          <w:color w:val="19161B"/>
          <w:lang w:val="hr-HR"/>
        </w:rPr>
        <w:t xml:space="preserve">procjenu dodane vrijednosti razmatranih instrumenata, </w:t>
      </w:r>
      <w:r>
        <w:rPr>
          <w:rFonts w:ascii="Calibri" w:hAnsi="Calibri" w:cs="Calibri"/>
          <w:color w:val="19161B"/>
          <w:lang w:val="hr-HR"/>
        </w:rPr>
        <w:t>usklađenost</w:t>
      </w:r>
      <w:r w:rsidRPr="00EA7FD9">
        <w:rPr>
          <w:rFonts w:ascii="Calibri" w:hAnsi="Calibri" w:cs="Calibri"/>
          <w:color w:val="19161B"/>
          <w:lang w:val="hr-HR"/>
        </w:rPr>
        <w:t xml:space="preserve"> s ostalim oblicima javnih intervencija na istom tržištu te moguće implikacije</w:t>
      </w:r>
      <w:r>
        <w:rPr>
          <w:rFonts w:ascii="Calibri" w:hAnsi="Calibri" w:cs="Calibri"/>
          <w:color w:val="19161B"/>
          <w:lang w:val="hr-HR"/>
        </w:rPr>
        <w:t xml:space="preserve"> u pogledu</w:t>
      </w:r>
      <w:r w:rsidRPr="00EA7FD9">
        <w:rPr>
          <w:rFonts w:ascii="Calibri" w:hAnsi="Calibri" w:cs="Calibri"/>
          <w:color w:val="19161B"/>
          <w:lang w:val="hr-HR"/>
        </w:rPr>
        <w:t xml:space="preserve"> državnih potpora</w:t>
      </w:r>
      <w:r>
        <w:rPr>
          <w:rFonts w:ascii="Calibri" w:hAnsi="Calibri" w:cs="Calibri"/>
          <w:color w:val="19161B"/>
          <w:lang w:val="hr-HR"/>
        </w:rPr>
        <w:t>;</w:t>
      </w:r>
    </w:p>
    <w:p w14:paraId="3A0B277F" w14:textId="77777777" w:rsidR="00132E7D" w:rsidRPr="00EA7FD9" w:rsidRDefault="00132E7D" w:rsidP="00F030D3">
      <w:pPr>
        <w:pStyle w:val="ListParagraph"/>
        <w:numPr>
          <w:ilvl w:val="0"/>
          <w:numId w:val="20"/>
        </w:numPr>
        <w:autoSpaceDE w:val="0"/>
        <w:autoSpaceDN w:val="0"/>
        <w:adjustRightInd w:val="0"/>
        <w:spacing w:before="40" w:after="40" w:line="300" w:lineRule="auto"/>
        <w:ind w:left="360"/>
        <w:rPr>
          <w:rFonts w:ascii="Calibri" w:hAnsi="Calibri" w:cs="Calibri"/>
          <w:color w:val="19161B"/>
          <w:lang w:val="hr-HR"/>
        </w:rPr>
      </w:pPr>
      <w:r w:rsidRPr="00EA7FD9">
        <w:rPr>
          <w:rFonts w:ascii="Calibri" w:hAnsi="Calibri" w:cs="Calibri"/>
          <w:color w:val="19161B"/>
          <w:lang w:val="hr-HR"/>
        </w:rPr>
        <w:t xml:space="preserve">procjenu dodatnih javnih i privatnih </w:t>
      </w:r>
      <w:r>
        <w:rPr>
          <w:rFonts w:ascii="Calibri" w:hAnsi="Calibri" w:cs="Calibri"/>
          <w:color w:val="19161B"/>
          <w:lang w:val="hr-HR"/>
        </w:rPr>
        <w:t>sredstava</w:t>
      </w:r>
      <w:r w:rsidRPr="00EA7FD9">
        <w:rPr>
          <w:rFonts w:ascii="Calibri" w:hAnsi="Calibri" w:cs="Calibri"/>
          <w:color w:val="19161B"/>
          <w:lang w:val="hr-HR"/>
        </w:rPr>
        <w:t xml:space="preserve"> koj</w:t>
      </w:r>
      <w:r>
        <w:rPr>
          <w:rFonts w:ascii="Calibri" w:hAnsi="Calibri" w:cs="Calibri"/>
          <w:color w:val="19161B"/>
          <w:lang w:val="hr-HR"/>
        </w:rPr>
        <w:t>a</w:t>
      </w:r>
      <w:r w:rsidRPr="00EA7FD9">
        <w:rPr>
          <w:rFonts w:ascii="Calibri" w:hAnsi="Calibri" w:cs="Calibri"/>
          <w:color w:val="19161B"/>
          <w:lang w:val="hr-HR"/>
        </w:rPr>
        <w:t xml:space="preserve"> će poten</w:t>
      </w:r>
      <w:r>
        <w:rPr>
          <w:rFonts w:ascii="Calibri" w:hAnsi="Calibri" w:cs="Calibri"/>
          <w:color w:val="19161B"/>
          <w:lang w:val="hr-HR"/>
        </w:rPr>
        <w:t>cijalno privući i</w:t>
      </w:r>
      <w:r w:rsidRPr="00EA7FD9">
        <w:rPr>
          <w:rFonts w:ascii="Calibri" w:hAnsi="Calibri" w:cs="Calibri"/>
          <w:color w:val="19161B"/>
          <w:lang w:val="hr-HR"/>
        </w:rPr>
        <w:t>nstrument</w:t>
      </w:r>
      <w:r>
        <w:rPr>
          <w:rFonts w:ascii="Calibri" w:hAnsi="Calibri" w:cs="Calibri"/>
          <w:color w:val="19161B"/>
          <w:lang w:val="hr-HR"/>
        </w:rPr>
        <w:t xml:space="preserve"> sve do razine krajnjeg primatelja</w:t>
      </w:r>
      <w:r w:rsidRPr="00EA7FD9">
        <w:rPr>
          <w:rFonts w:ascii="Calibri" w:hAnsi="Calibri" w:cs="Calibri"/>
          <w:color w:val="19161B"/>
          <w:lang w:val="hr-HR"/>
        </w:rPr>
        <w:t xml:space="preserve"> (</w:t>
      </w:r>
      <w:r>
        <w:rPr>
          <w:rFonts w:ascii="Calibri" w:hAnsi="Calibri" w:cs="Calibri"/>
          <w:color w:val="19161B"/>
          <w:lang w:val="hr-HR"/>
        </w:rPr>
        <w:t>očekivani učinak poluge</w:t>
      </w:r>
      <w:r w:rsidRPr="00EA7FD9">
        <w:rPr>
          <w:rFonts w:ascii="Calibri" w:hAnsi="Calibri" w:cs="Calibri"/>
          <w:color w:val="19161B"/>
          <w:lang w:val="hr-HR"/>
        </w:rPr>
        <w:t xml:space="preserve">), uključujući, </w:t>
      </w:r>
      <w:r>
        <w:rPr>
          <w:rFonts w:ascii="Calibri" w:hAnsi="Calibri" w:cs="Calibri"/>
          <w:color w:val="19161B"/>
          <w:lang w:val="hr-HR"/>
        </w:rPr>
        <w:t>prema potrebi</w:t>
      </w:r>
      <w:r w:rsidRPr="00EA7FD9">
        <w:rPr>
          <w:rFonts w:ascii="Calibri" w:hAnsi="Calibri" w:cs="Calibri"/>
          <w:color w:val="19161B"/>
          <w:lang w:val="hr-HR"/>
        </w:rPr>
        <w:t>, procjenu potrebe</w:t>
      </w:r>
      <w:r>
        <w:rPr>
          <w:rFonts w:ascii="Calibri" w:hAnsi="Calibri" w:cs="Calibri"/>
          <w:color w:val="19161B"/>
          <w:lang w:val="hr-HR"/>
        </w:rPr>
        <w:t xml:space="preserve"> za povlaštenom naknadom, radi privlačenja</w:t>
      </w:r>
      <w:r w:rsidRPr="00EA7FD9">
        <w:rPr>
          <w:rFonts w:ascii="Calibri" w:hAnsi="Calibri" w:cs="Calibri"/>
          <w:color w:val="19161B"/>
          <w:lang w:val="hr-HR"/>
        </w:rPr>
        <w:t xml:space="preserve"> </w:t>
      </w:r>
      <w:r>
        <w:rPr>
          <w:rFonts w:ascii="Calibri" w:hAnsi="Calibri" w:cs="Calibri"/>
          <w:color w:val="19161B"/>
          <w:lang w:val="hr-HR"/>
        </w:rPr>
        <w:t xml:space="preserve">drugog dijela sredstava </w:t>
      </w:r>
      <w:r w:rsidRPr="00EA7FD9">
        <w:rPr>
          <w:rFonts w:ascii="Calibri" w:hAnsi="Calibri" w:cs="Calibri"/>
          <w:color w:val="19161B"/>
          <w:lang w:val="hr-HR"/>
        </w:rPr>
        <w:t>privatnih ulaga</w:t>
      </w:r>
      <w:r>
        <w:rPr>
          <w:rFonts w:ascii="Calibri" w:hAnsi="Calibri" w:cs="Calibri"/>
          <w:color w:val="19161B"/>
          <w:lang w:val="hr-HR"/>
        </w:rPr>
        <w:t>ča</w:t>
      </w:r>
      <w:r w:rsidRPr="00EA7FD9">
        <w:rPr>
          <w:rFonts w:ascii="Calibri" w:hAnsi="Calibri" w:cs="Calibri"/>
          <w:color w:val="19161B"/>
          <w:lang w:val="hr-HR"/>
        </w:rPr>
        <w:t xml:space="preserve"> i/ili opis mehanizama koji će se koristiti u navedenu svrhu</w:t>
      </w:r>
      <w:r>
        <w:rPr>
          <w:rFonts w:ascii="Calibri" w:hAnsi="Calibri" w:cs="Calibri"/>
          <w:color w:val="19161B"/>
          <w:lang w:val="hr-HR"/>
        </w:rPr>
        <w:t>;</w:t>
      </w:r>
    </w:p>
    <w:p w14:paraId="58F6FE70" w14:textId="77777777" w:rsidR="00132E7D" w:rsidRPr="00EA7FD9" w:rsidRDefault="00132E7D" w:rsidP="00F030D3">
      <w:pPr>
        <w:pStyle w:val="ListParagraph"/>
        <w:numPr>
          <w:ilvl w:val="0"/>
          <w:numId w:val="20"/>
        </w:numPr>
        <w:autoSpaceDE w:val="0"/>
        <w:autoSpaceDN w:val="0"/>
        <w:adjustRightInd w:val="0"/>
        <w:spacing w:before="40" w:after="40" w:line="300" w:lineRule="auto"/>
        <w:ind w:left="360"/>
        <w:rPr>
          <w:rFonts w:ascii="Calibri" w:hAnsi="Calibri" w:cs="Calibri"/>
          <w:color w:val="19161B"/>
          <w:lang w:val="hr-HR"/>
        </w:rPr>
      </w:pPr>
      <w:r w:rsidRPr="00EA7FD9">
        <w:rPr>
          <w:rFonts w:ascii="Calibri" w:hAnsi="Calibri" w:cs="Calibri"/>
          <w:color w:val="19161B"/>
          <w:lang w:val="hr-HR"/>
        </w:rPr>
        <w:t xml:space="preserve">procjenu </w:t>
      </w:r>
      <w:r>
        <w:rPr>
          <w:rFonts w:ascii="Calibri" w:hAnsi="Calibri" w:cs="Calibri"/>
          <w:color w:val="19161B"/>
          <w:lang w:val="hr-HR"/>
        </w:rPr>
        <w:t>naučenih lekcija iz</w:t>
      </w:r>
      <w:r w:rsidRPr="00EA7FD9">
        <w:rPr>
          <w:rFonts w:ascii="Calibri" w:hAnsi="Calibri" w:cs="Calibri"/>
          <w:color w:val="19161B"/>
          <w:lang w:val="hr-HR"/>
        </w:rPr>
        <w:t xml:space="preserve"> sličnih instrumenata i ex ante procjena </w:t>
      </w:r>
      <w:r>
        <w:rPr>
          <w:rFonts w:ascii="Calibri" w:hAnsi="Calibri" w:cs="Calibri"/>
          <w:color w:val="19161B"/>
          <w:lang w:val="hr-HR"/>
        </w:rPr>
        <w:t>iz prošlosti</w:t>
      </w:r>
      <w:r w:rsidRPr="00EA7FD9">
        <w:rPr>
          <w:rFonts w:ascii="Calibri" w:hAnsi="Calibri" w:cs="Calibri"/>
          <w:color w:val="19161B"/>
          <w:lang w:val="hr-HR"/>
        </w:rPr>
        <w:t xml:space="preserve"> držav</w:t>
      </w:r>
      <w:r>
        <w:rPr>
          <w:rFonts w:ascii="Calibri" w:hAnsi="Calibri" w:cs="Calibri"/>
          <w:color w:val="19161B"/>
          <w:lang w:val="hr-HR"/>
        </w:rPr>
        <w:t>e</w:t>
      </w:r>
      <w:r w:rsidRPr="00EA7FD9">
        <w:rPr>
          <w:rFonts w:ascii="Calibri" w:hAnsi="Calibri" w:cs="Calibri"/>
          <w:color w:val="19161B"/>
          <w:lang w:val="hr-HR"/>
        </w:rPr>
        <w:t xml:space="preserve"> članic</w:t>
      </w:r>
      <w:r>
        <w:rPr>
          <w:rFonts w:ascii="Calibri" w:hAnsi="Calibri" w:cs="Calibri"/>
          <w:color w:val="19161B"/>
          <w:lang w:val="hr-HR"/>
        </w:rPr>
        <w:t>e</w:t>
      </w:r>
      <w:r w:rsidRPr="00EA7FD9">
        <w:rPr>
          <w:rFonts w:ascii="Calibri" w:hAnsi="Calibri" w:cs="Calibri"/>
          <w:color w:val="19161B"/>
          <w:lang w:val="hr-HR"/>
        </w:rPr>
        <w:t xml:space="preserve"> </w:t>
      </w:r>
      <w:r>
        <w:rPr>
          <w:rFonts w:ascii="Calibri" w:hAnsi="Calibri" w:cs="Calibri"/>
          <w:color w:val="19161B"/>
          <w:lang w:val="hr-HR"/>
        </w:rPr>
        <w:t>te načine primjene</w:t>
      </w:r>
      <w:r w:rsidRPr="00EA7FD9">
        <w:rPr>
          <w:rFonts w:ascii="Calibri" w:hAnsi="Calibri" w:cs="Calibri"/>
          <w:color w:val="19161B"/>
          <w:lang w:val="hr-HR"/>
        </w:rPr>
        <w:t xml:space="preserve"> stečeno</w:t>
      </w:r>
      <w:r>
        <w:rPr>
          <w:rFonts w:ascii="Calibri" w:hAnsi="Calibri" w:cs="Calibri"/>
          <w:color w:val="19161B"/>
          <w:lang w:val="hr-HR"/>
        </w:rPr>
        <w:t>g iskustva</w:t>
      </w:r>
      <w:r w:rsidRPr="00EA7FD9">
        <w:rPr>
          <w:rFonts w:ascii="Calibri" w:hAnsi="Calibri" w:cs="Calibri"/>
          <w:color w:val="19161B"/>
          <w:lang w:val="hr-HR"/>
        </w:rPr>
        <w:t xml:space="preserve"> u budućnosti </w:t>
      </w:r>
      <w:r>
        <w:rPr>
          <w:rFonts w:ascii="Calibri" w:hAnsi="Calibri" w:cs="Calibri"/>
          <w:color w:val="19161B"/>
          <w:lang w:val="hr-HR"/>
        </w:rPr>
        <w:t>;</w:t>
      </w:r>
    </w:p>
    <w:p w14:paraId="168BFD96" w14:textId="77777777" w:rsidR="00132E7D" w:rsidRPr="00EA7FD9" w:rsidRDefault="00132E7D" w:rsidP="00F030D3">
      <w:pPr>
        <w:pStyle w:val="ListParagraph"/>
        <w:numPr>
          <w:ilvl w:val="0"/>
          <w:numId w:val="20"/>
        </w:numPr>
        <w:autoSpaceDE w:val="0"/>
        <w:autoSpaceDN w:val="0"/>
        <w:adjustRightInd w:val="0"/>
        <w:spacing w:before="40" w:after="40" w:line="300" w:lineRule="auto"/>
        <w:ind w:left="360"/>
        <w:rPr>
          <w:rFonts w:ascii="Calibri" w:hAnsi="Calibri" w:cs="Calibri"/>
          <w:color w:val="19161B"/>
          <w:lang w:val="hr-HR"/>
        </w:rPr>
      </w:pPr>
      <w:r w:rsidRPr="00EA7FD9">
        <w:rPr>
          <w:rFonts w:ascii="Calibri" w:hAnsi="Calibri" w:cs="Calibri"/>
          <w:color w:val="19161B"/>
          <w:lang w:val="hr-HR"/>
        </w:rPr>
        <w:t xml:space="preserve">predloženu strategiju ulaganja, uključujući i razmatranje </w:t>
      </w:r>
      <w:r>
        <w:rPr>
          <w:rFonts w:ascii="Calibri" w:hAnsi="Calibri" w:cs="Calibri"/>
          <w:color w:val="19161B"/>
          <w:lang w:val="hr-HR"/>
        </w:rPr>
        <w:t>mogućih rješenja u vezi s</w:t>
      </w:r>
      <w:r w:rsidRPr="00EA7FD9">
        <w:rPr>
          <w:rFonts w:ascii="Calibri" w:hAnsi="Calibri" w:cs="Calibri"/>
          <w:color w:val="19161B"/>
          <w:lang w:val="hr-HR"/>
        </w:rPr>
        <w:t xml:space="preserve"> proved</w:t>
      </w:r>
      <w:r>
        <w:rPr>
          <w:rFonts w:ascii="Calibri" w:hAnsi="Calibri" w:cs="Calibri"/>
          <w:color w:val="19161B"/>
          <w:lang w:val="hr-HR"/>
        </w:rPr>
        <w:t>benim</w:t>
      </w:r>
      <w:r w:rsidRPr="00EA7FD9">
        <w:rPr>
          <w:rFonts w:ascii="Calibri" w:hAnsi="Calibri" w:cs="Calibri"/>
          <w:color w:val="19161B"/>
          <w:lang w:val="hr-HR"/>
        </w:rPr>
        <w:t xml:space="preserve"> </w:t>
      </w:r>
      <w:r>
        <w:rPr>
          <w:rFonts w:ascii="Calibri" w:hAnsi="Calibri" w:cs="Calibri"/>
          <w:color w:val="19161B"/>
          <w:lang w:val="hr-HR"/>
        </w:rPr>
        <w:t>mehanizmima, predviđenu ponudu financijskih</w:t>
      </w:r>
      <w:r w:rsidRPr="00EA7FD9">
        <w:rPr>
          <w:rFonts w:ascii="Calibri" w:hAnsi="Calibri" w:cs="Calibri"/>
          <w:color w:val="19161B"/>
          <w:lang w:val="hr-HR"/>
        </w:rPr>
        <w:t xml:space="preserve"> proizvoda, </w:t>
      </w:r>
      <w:r>
        <w:rPr>
          <w:rFonts w:ascii="Calibri" w:hAnsi="Calibri" w:cs="Calibri"/>
          <w:color w:val="19161B"/>
          <w:lang w:val="hr-HR"/>
        </w:rPr>
        <w:t>ciljane krajnje primatelje te, prema potrebi, pred</w:t>
      </w:r>
      <w:r w:rsidRPr="00EA7FD9">
        <w:rPr>
          <w:rFonts w:ascii="Calibri" w:hAnsi="Calibri" w:cs="Calibri"/>
          <w:color w:val="19161B"/>
          <w:lang w:val="hr-HR"/>
        </w:rPr>
        <w:t xml:space="preserve">viđenu kombinaciju s </w:t>
      </w:r>
      <w:r>
        <w:rPr>
          <w:rFonts w:ascii="Calibri" w:hAnsi="Calibri" w:cs="Calibri"/>
          <w:color w:val="19161B"/>
          <w:lang w:val="hr-HR"/>
        </w:rPr>
        <w:t>bespovratnim sredstvima;</w:t>
      </w:r>
      <w:r w:rsidRPr="00EA7FD9">
        <w:rPr>
          <w:rFonts w:ascii="Calibri" w:hAnsi="Calibri" w:cs="Calibri"/>
          <w:color w:val="19161B"/>
          <w:lang w:val="hr-HR"/>
        </w:rPr>
        <w:t xml:space="preserve"> </w:t>
      </w:r>
    </w:p>
    <w:p w14:paraId="138C1061" w14:textId="0FA1BC24" w:rsidR="00132E7D" w:rsidRPr="00EA7FD9" w:rsidRDefault="00132E7D" w:rsidP="00F030D3">
      <w:pPr>
        <w:pStyle w:val="ListParagraph"/>
        <w:numPr>
          <w:ilvl w:val="0"/>
          <w:numId w:val="20"/>
        </w:numPr>
        <w:autoSpaceDE w:val="0"/>
        <w:autoSpaceDN w:val="0"/>
        <w:adjustRightInd w:val="0"/>
        <w:spacing w:before="40" w:after="40" w:line="300" w:lineRule="auto"/>
        <w:ind w:left="360"/>
        <w:rPr>
          <w:rFonts w:ascii="Calibri" w:hAnsi="Calibri" w:cs="Calibri"/>
          <w:color w:val="19161B"/>
          <w:lang w:val="hr-HR"/>
        </w:rPr>
      </w:pPr>
      <w:r w:rsidRPr="00EA7FD9">
        <w:rPr>
          <w:rFonts w:ascii="Calibri" w:hAnsi="Calibri" w:cs="Calibri"/>
          <w:color w:val="19161B"/>
          <w:lang w:val="hr-HR"/>
        </w:rPr>
        <w:t xml:space="preserve">specifikaciju očekivanih rezultata i očekivanog doprinosa predmetnog instrumenta </w:t>
      </w:r>
      <w:r>
        <w:rPr>
          <w:rFonts w:ascii="Calibri" w:hAnsi="Calibri" w:cs="Calibri"/>
          <w:color w:val="19161B"/>
          <w:lang w:val="hr-HR"/>
        </w:rPr>
        <w:t>ostvarenju</w:t>
      </w:r>
      <w:r w:rsidRPr="00EA7FD9">
        <w:rPr>
          <w:rFonts w:ascii="Calibri" w:hAnsi="Calibri" w:cs="Calibri"/>
          <w:color w:val="19161B"/>
          <w:lang w:val="hr-HR"/>
        </w:rPr>
        <w:t xml:space="preserve"> </w:t>
      </w:r>
      <w:r>
        <w:rPr>
          <w:rFonts w:ascii="Calibri" w:hAnsi="Calibri" w:cs="Calibri"/>
          <w:color w:val="19161B"/>
          <w:lang w:val="hr-HR"/>
        </w:rPr>
        <w:t>specifičnih</w:t>
      </w:r>
      <w:r w:rsidRPr="00EA7FD9">
        <w:rPr>
          <w:rFonts w:ascii="Calibri" w:hAnsi="Calibri" w:cs="Calibri"/>
          <w:color w:val="19161B"/>
          <w:lang w:val="hr-HR"/>
        </w:rPr>
        <w:t xml:space="preserve"> ciljeva iznesenih u </w:t>
      </w:r>
      <w:r>
        <w:rPr>
          <w:rFonts w:ascii="Calibri" w:hAnsi="Calibri" w:cs="Calibri"/>
          <w:color w:val="19161B"/>
          <w:lang w:val="hr-HR"/>
        </w:rPr>
        <w:t>okviru relevantnog prioriteta</w:t>
      </w:r>
      <w:r w:rsidRPr="00EA7FD9">
        <w:rPr>
          <w:rFonts w:ascii="Calibri" w:hAnsi="Calibri" w:cs="Calibri"/>
          <w:color w:val="19161B"/>
          <w:lang w:val="hr-HR"/>
        </w:rPr>
        <w:t xml:space="preserve"> OP-a, uključujući i pokazatelje</w:t>
      </w:r>
      <w:r>
        <w:rPr>
          <w:rFonts w:ascii="Calibri" w:hAnsi="Calibri" w:cs="Calibri"/>
          <w:color w:val="19161B"/>
          <w:lang w:val="hr-HR"/>
        </w:rPr>
        <w:t xml:space="preserve"> za taj doprinos;</w:t>
      </w:r>
    </w:p>
    <w:p w14:paraId="7F5D0525" w14:textId="77777777" w:rsidR="00132E7D" w:rsidRPr="00EA7FD9" w:rsidRDefault="00132E7D" w:rsidP="00F030D3">
      <w:pPr>
        <w:pStyle w:val="ListParagraph"/>
        <w:numPr>
          <w:ilvl w:val="0"/>
          <w:numId w:val="20"/>
        </w:numPr>
        <w:autoSpaceDE w:val="0"/>
        <w:autoSpaceDN w:val="0"/>
        <w:adjustRightInd w:val="0"/>
        <w:spacing w:before="40" w:after="40" w:line="300" w:lineRule="auto"/>
        <w:ind w:left="360"/>
        <w:rPr>
          <w:rFonts w:ascii="Calibri" w:hAnsi="Calibri" w:cs="Calibri"/>
          <w:color w:val="19161B"/>
          <w:lang w:val="hr-HR"/>
        </w:rPr>
      </w:pPr>
      <w:r>
        <w:rPr>
          <w:rFonts w:ascii="Calibri" w:hAnsi="Calibri" w:cs="Calibri"/>
          <w:color w:val="19161B"/>
          <w:lang w:val="hr-HR"/>
        </w:rPr>
        <w:t>odredbe kojima se omogućuje</w:t>
      </w:r>
      <w:r w:rsidRPr="00EA7FD9">
        <w:rPr>
          <w:rFonts w:ascii="Calibri" w:hAnsi="Calibri" w:cs="Calibri"/>
          <w:color w:val="19161B"/>
          <w:lang w:val="hr-HR"/>
        </w:rPr>
        <w:t xml:space="preserve"> preispitivanje i </w:t>
      </w:r>
      <w:r>
        <w:rPr>
          <w:rFonts w:ascii="Calibri" w:hAnsi="Calibri" w:cs="Calibri"/>
          <w:color w:val="19161B"/>
          <w:lang w:val="hr-HR"/>
        </w:rPr>
        <w:t xml:space="preserve">prema potrebi </w:t>
      </w:r>
      <w:r w:rsidRPr="00EA7FD9">
        <w:rPr>
          <w:rFonts w:ascii="Calibri" w:hAnsi="Calibri" w:cs="Calibri"/>
          <w:color w:val="19161B"/>
          <w:lang w:val="hr-HR"/>
        </w:rPr>
        <w:t xml:space="preserve">ažuriranje ex-ante procjene tijekom faze provedbe, ukoliko upravljačko tijelo smatra da </w:t>
      </w:r>
      <w:r>
        <w:rPr>
          <w:rFonts w:ascii="Calibri" w:hAnsi="Calibri" w:cs="Calibri"/>
          <w:color w:val="19161B"/>
          <w:lang w:val="hr-HR"/>
        </w:rPr>
        <w:t xml:space="preserve">ex ante procjena </w:t>
      </w:r>
      <w:r w:rsidRPr="00EA7FD9">
        <w:rPr>
          <w:rFonts w:ascii="Calibri" w:hAnsi="Calibri" w:cs="Calibri"/>
          <w:color w:val="19161B"/>
          <w:lang w:val="hr-HR"/>
        </w:rPr>
        <w:t xml:space="preserve">možda </w:t>
      </w:r>
      <w:r>
        <w:rPr>
          <w:rFonts w:ascii="Calibri" w:hAnsi="Calibri" w:cs="Calibri"/>
          <w:color w:val="19161B"/>
          <w:lang w:val="hr-HR"/>
        </w:rPr>
        <w:t xml:space="preserve">više </w:t>
      </w:r>
      <w:r w:rsidRPr="00EA7FD9">
        <w:rPr>
          <w:rFonts w:ascii="Calibri" w:hAnsi="Calibri" w:cs="Calibri"/>
          <w:color w:val="19161B"/>
          <w:lang w:val="hr-HR"/>
        </w:rPr>
        <w:t>ne pre</w:t>
      </w:r>
      <w:r>
        <w:rPr>
          <w:rFonts w:ascii="Calibri" w:hAnsi="Calibri" w:cs="Calibri"/>
          <w:color w:val="19161B"/>
          <w:lang w:val="hr-HR"/>
        </w:rPr>
        <w:t xml:space="preserve">dstavlja </w:t>
      </w:r>
      <w:r w:rsidRPr="00EA7FD9">
        <w:rPr>
          <w:rFonts w:ascii="Calibri" w:hAnsi="Calibri" w:cs="Calibri"/>
          <w:color w:val="19161B"/>
          <w:lang w:val="hr-HR"/>
        </w:rPr>
        <w:t>postojeće tržišne uvjete</w:t>
      </w:r>
      <w:r>
        <w:rPr>
          <w:rFonts w:ascii="Calibri" w:hAnsi="Calibri" w:cs="Calibri"/>
          <w:color w:val="19161B"/>
          <w:lang w:val="hr-HR"/>
        </w:rPr>
        <w:t>.</w:t>
      </w:r>
      <w:r w:rsidRPr="00EA7FD9">
        <w:rPr>
          <w:rFonts w:ascii="Calibri" w:hAnsi="Calibri" w:cs="Calibri"/>
          <w:color w:val="19161B"/>
          <w:lang w:val="hr-HR"/>
        </w:rPr>
        <w:t xml:space="preserve"> </w:t>
      </w:r>
    </w:p>
    <w:p w14:paraId="2E9B4737" w14:textId="4ABB6694" w:rsidR="00132E7D" w:rsidRPr="00EA7FD9" w:rsidRDefault="00132E7D" w:rsidP="00F030D3">
      <w:pPr>
        <w:spacing w:before="40" w:after="40" w:line="300" w:lineRule="auto"/>
        <w:rPr>
          <w:rFonts w:ascii="Calibri" w:hAnsi="Calibri" w:cs="Calibri"/>
          <w:lang w:val="hr-HR"/>
        </w:rPr>
      </w:pPr>
      <w:r w:rsidRPr="00EA7FD9">
        <w:rPr>
          <w:rFonts w:ascii="Calibri" w:hAnsi="Calibri" w:cs="Calibri"/>
          <w:color w:val="19161B"/>
          <w:lang w:val="hr-HR"/>
        </w:rPr>
        <w:t xml:space="preserve">Ex-ante procjena može se provoditi </w:t>
      </w:r>
      <w:r>
        <w:rPr>
          <w:rFonts w:ascii="Calibri" w:hAnsi="Calibri" w:cs="Calibri"/>
          <w:color w:val="19161B"/>
          <w:lang w:val="hr-HR"/>
        </w:rPr>
        <w:t>u</w:t>
      </w:r>
      <w:r w:rsidRPr="00EA7FD9">
        <w:rPr>
          <w:rFonts w:ascii="Calibri" w:hAnsi="Calibri" w:cs="Calibri"/>
          <w:color w:val="19161B"/>
          <w:lang w:val="hr-HR"/>
        </w:rPr>
        <w:t xml:space="preserve"> fazama, ali mora biti </w:t>
      </w:r>
      <w:r>
        <w:rPr>
          <w:rFonts w:ascii="Calibri" w:hAnsi="Calibri" w:cs="Calibri"/>
          <w:color w:val="19161B"/>
          <w:lang w:val="hr-HR"/>
        </w:rPr>
        <w:t>do</w:t>
      </w:r>
      <w:r w:rsidRPr="00EA7FD9">
        <w:rPr>
          <w:rFonts w:ascii="Calibri" w:hAnsi="Calibri" w:cs="Calibri"/>
          <w:color w:val="19161B"/>
          <w:lang w:val="hr-HR"/>
        </w:rPr>
        <w:t xml:space="preserve">vršena prije </w:t>
      </w:r>
      <w:r>
        <w:rPr>
          <w:rFonts w:ascii="Calibri" w:hAnsi="Calibri" w:cs="Calibri"/>
          <w:color w:val="19161B"/>
          <w:lang w:val="hr-HR"/>
        </w:rPr>
        <w:t>nego što</w:t>
      </w:r>
      <w:r w:rsidRPr="00EA7FD9">
        <w:rPr>
          <w:rFonts w:ascii="Calibri" w:hAnsi="Calibri" w:cs="Calibri"/>
          <w:color w:val="19161B"/>
          <w:lang w:val="hr-HR"/>
        </w:rPr>
        <w:t xml:space="preserve"> upravljačko tijelo donese odluku o </w:t>
      </w:r>
      <w:r>
        <w:rPr>
          <w:rFonts w:ascii="Calibri" w:hAnsi="Calibri" w:cs="Calibri"/>
          <w:color w:val="19161B"/>
          <w:lang w:val="hr-HR"/>
        </w:rPr>
        <w:t>dodjeli doprinosa financijskom instrumentu</w:t>
      </w:r>
      <w:r w:rsidRPr="00EA7FD9">
        <w:rPr>
          <w:rFonts w:ascii="Calibri" w:hAnsi="Calibri" w:cs="Calibri"/>
          <w:color w:val="19161B"/>
          <w:lang w:val="hr-HR"/>
        </w:rPr>
        <w:t>.</w:t>
      </w:r>
    </w:p>
    <w:p w14:paraId="1607DCAE" w14:textId="77777777" w:rsidR="00132E7D" w:rsidRPr="00EA7FD9" w:rsidRDefault="00132E7D" w:rsidP="00F030D3">
      <w:pPr>
        <w:spacing w:before="40" w:after="40" w:line="300" w:lineRule="auto"/>
        <w:rPr>
          <w:rFonts w:ascii="Calibri" w:hAnsi="Calibri" w:cs="Calibri"/>
          <w:lang w:val="hr-HR"/>
        </w:rPr>
      </w:pPr>
      <w:r w:rsidRPr="00EA7FD9">
        <w:rPr>
          <w:rFonts w:ascii="Calibri" w:hAnsi="Calibri" w:cs="Calibri"/>
          <w:lang w:val="hr-HR"/>
        </w:rPr>
        <w:t xml:space="preserve">Financijskim instrumentima </w:t>
      </w:r>
      <w:r>
        <w:rPr>
          <w:rFonts w:ascii="Calibri" w:hAnsi="Calibri" w:cs="Calibri"/>
          <w:lang w:val="hr-HR"/>
        </w:rPr>
        <w:t>poput</w:t>
      </w:r>
      <w:r w:rsidRPr="00EA7FD9">
        <w:rPr>
          <w:rFonts w:ascii="Calibri" w:hAnsi="Calibri" w:cs="Calibri"/>
          <w:lang w:val="hr-HR"/>
        </w:rPr>
        <w:t xml:space="preserve"> </w:t>
      </w:r>
      <w:r>
        <w:rPr>
          <w:rFonts w:ascii="Calibri" w:hAnsi="Calibri" w:cs="Calibri"/>
          <w:lang w:val="hr-HR"/>
        </w:rPr>
        <w:t>JESSICA-e – Fondom fondova</w:t>
      </w:r>
      <w:r w:rsidRPr="00EA7FD9">
        <w:rPr>
          <w:rFonts w:ascii="Calibri" w:hAnsi="Calibri" w:cs="Calibri"/>
          <w:lang w:val="hr-HR"/>
        </w:rPr>
        <w:t xml:space="preserve"> i/ili </w:t>
      </w:r>
      <w:r>
        <w:rPr>
          <w:rFonts w:ascii="Calibri" w:hAnsi="Calibri" w:cs="Calibri"/>
          <w:lang w:val="hr-HR"/>
        </w:rPr>
        <w:t>pojedinačnim fondovima za urbani razvoj</w:t>
      </w:r>
      <w:r w:rsidRPr="00EA7FD9">
        <w:rPr>
          <w:rFonts w:ascii="Calibri" w:hAnsi="Calibri" w:cs="Calibri"/>
          <w:lang w:val="hr-HR"/>
        </w:rPr>
        <w:t xml:space="preserve"> – u državama članicama može upravljati:</w:t>
      </w:r>
    </w:p>
    <w:p w14:paraId="46A9AE91" w14:textId="77777777" w:rsidR="00132E7D" w:rsidRPr="00EA7FD9" w:rsidRDefault="00132E7D" w:rsidP="00F030D3">
      <w:pPr>
        <w:numPr>
          <w:ilvl w:val="0"/>
          <w:numId w:val="21"/>
        </w:numPr>
        <w:spacing w:before="40" w:after="40" w:line="300" w:lineRule="auto"/>
        <w:rPr>
          <w:rFonts w:ascii="Calibri" w:hAnsi="Calibri" w:cs="Calibri"/>
          <w:lang w:val="hr-HR"/>
        </w:rPr>
      </w:pPr>
      <w:r w:rsidRPr="00EA7FD9">
        <w:rPr>
          <w:rFonts w:ascii="Calibri" w:hAnsi="Calibri" w:cs="Calibri"/>
          <w:lang w:val="hr-HR"/>
        </w:rPr>
        <w:lastRenderedPageBreak/>
        <w:t xml:space="preserve">upravljačko tijelo </w:t>
      </w:r>
      <w:r>
        <w:rPr>
          <w:rFonts w:ascii="Calibri" w:hAnsi="Calibri" w:cs="Calibri"/>
          <w:lang w:val="hr-HR"/>
        </w:rPr>
        <w:t xml:space="preserve">relevantnog </w:t>
      </w:r>
      <w:r w:rsidRPr="00EA7FD9">
        <w:rPr>
          <w:rFonts w:ascii="Calibri" w:hAnsi="Calibri" w:cs="Calibri"/>
          <w:lang w:val="hr-HR"/>
        </w:rPr>
        <w:t>OP-a (samo u slučaju instrumenata koji obuhvaćaju zajmove ili jamstva)</w:t>
      </w:r>
      <w:r>
        <w:rPr>
          <w:rFonts w:ascii="Calibri" w:hAnsi="Calibri" w:cs="Calibri"/>
          <w:lang w:val="hr-HR"/>
        </w:rPr>
        <w:t>;</w:t>
      </w:r>
    </w:p>
    <w:p w14:paraId="769AC2B8" w14:textId="77777777" w:rsidR="00132E7D" w:rsidRPr="00EA7FD9" w:rsidRDefault="00132E7D" w:rsidP="00F030D3">
      <w:pPr>
        <w:numPr>
          <w:ilvl w:val="0"/>
          <w:numId w:val="21"/>
        </w:numPr>
        <w:spacing w:before="40" w:after="40" w:line="300" w:lineRule="auto"/>
        <w:rPr>
          <w:rFonts w:ascii="Calibri" w:hAnsi="Calibri" w:cs="Calibri"/>
          <w:lang w:val="hr-HR"/>
        </w:rPr>
      </w:pPr>
      <w:r>
        <w:rPr>
          <w:rFonts w:ascii="Calibri" w:hAnsi="Calibri" w:cs="Calibri"/>
          <w:lang w:val="hr-HR"/>
        </w:rPr>
        <w:t>Europska investicijska banka;</w:t>
      </w:r>
    </w:p>
    <w:p w14:paraId="2A2D0914" w14:textId="77777777" w:rsidR="00132E7D" w:rsidRPr="00EA7FD9" w:rsidRDefault="00132E7D" w:rsidP="00F030D3">
      <w:pPr>
        <w:numPr>
          <w:ilvl w:val="0"/>
          <w:numId w:val="21"/>
        </w:numPr>
        <w:spacing w:before="40" w:after="40" w:line="300" w:lineRule="auto"/>
        <w:rPr>
          <w:rFonts w:ascii="Calibri" w:hAnsi="Calibri" w:cs="Calibri"/>
          <w:lang w:val="hr-HR"/>
        </w:rPr>
      </w:pPr>
      <w:r w:rsidRPr="00EA7FD9">
        <w:rPr>
          <w:rFonts w:ascii="Calibri" w:hAnsi="Calibri" w:cs="Calibri"/>
          <w:lang w:val="hr-HR"/>
        </w:rPr>
        <w:t>međunarodne financijske institucije</w:t>
      </w:r>
      <w:r>
        <w:rPr>
          <w:rFonts w:ascii="Calibri" w:hAnsi="Calibri" w:cs="Calibri"/>
          <w:lang w:val="hr-HR"/>
        </w:rPr>
        <w:t>;</w:t>
      </w:r>
      <w:r w:rsidRPr="00EA7FD9">
        <w:rPr>
          <w:rFonts w:ascii="Calibri" w:hAnsi="Calibri" w:cs="Calibri"/>
          <w:lang w:val="hr-HR"/>
        </w:rPr>
        <w:t xml:space="preserve"> </w:t>
      </w:r>
    </w:p>
    <w:p w14:paraId="1CC1FE0A" w14:textId="77777777" w:rsidR="00132E7D" w:rsidRPr="00EA7FD9" w:rsidRDefault="00132E7D" w:rsidP="00F030D3">
      <w:pPr>
        <w:numPr>
          <w:ilvl w:val="0"/>
          <w:numId w:val="21"/>
        </w:numPr>
        <w:spacing w:before="40" w:after="40" w:line="300" w:lineRule="auto"/>
        <w:rPr>
          <w:rFonts w:ascii="Calibri" w:hAnsi="Calibri" w:cs="Calibri"/>
          <w:lang w:val="hr-HR"/>
        </w:rPr>
      </w:pPr>
      <w:r w:rsidRPr="00EA7FD9">
        <w:rPr>
          <w:rFonts w:ascii="Calibri" w:hAnsi="Calibri" w:cs="Calibri"/>
          <w:lang w:val="hr-HR"/>
        </w:rPr>
        <w:t xml:space="preserve">državne financijske institucije pod </w:t>
      </w:r>
      <w:r>
        <w:rPr>
          <w:rFonts w:ascii="Calibri" w:hAnsi="Calibri" w:cs="Calibri"/>
          <w:lang w:val="hr-HR"/>
        </w:rPr>
        <w:t>kontrolom tijela javne vlasti;</w:t>
      </w:r>
    </w:p>
    <w:p w14:paraId="593B7AD5" w14:textId="77777777" w:rsidR="00132E7D" w:rsidRPr="00635E44" w:rsidRDefault="00132E7D" w:rsidP="00F030D3">
      <w:pPr>
        <w:numPr>
          <w:ilvl w:val="0"/>
          <w:numId w:val="21"/>
        </w:numPr>
        <w:spacing w:before="40" w:after="40" w:line="300" w:lineRule="auto"/>
        <w:rPr>
          <w:rFonts w:ascii="Calibri" w:hAnsi="Calibri" w:cs="Calibri"/>
          <w:lang w:val="hr-HR"/>
        </w:rPr>
      </w:pPr>
      <w:r w:rsidRPr="00635E44">
        <w:rPr>
          <w:rFonts w:ascii="Calibri" w:hAnsi="Calibri" w:cs="Calibri"/>
          <w:lang w:val="hr-HR"/>
        </w:rPr>
        <w:t>tijelo javnog ili privatnog prava</w:t>
      </w:r>
      <w:r>
        <w:rPr>
          <w:rFonts w:ascii="Calibri" w:hAnsi="Calibri" w:cs="Calibri"/>
          <w:lang w:val="hr-HR"/>
        </w:rPr>
        <w:t>.</w:t>
      </w:r>
    </w:p>
    <w:p w14:paraId="59E415DE" w14:textId="77777777" w:rsidR="00132E7D" w:rsidRPr="00EA7FD9" w:rsidRDefault="00132E7D" w:rsidP="00F030D3">
      <w:pPr>
        <w:spacing w:before="40" w:after="40" w:line="300" w:lineRule="auto"/>
        <w:rPr>
          <w:rFonts w:ascii="Calibri" w:hAnsi="Calibri" w:cs="Calibri"/>
          <w:lang w:val="hr-HR"/>
        </w:rPr>
      </w:pPr>
      <w:r w:rsidRPr="00EA7FD9">
        <w:rPr>
          <w:rFonts w:ascii="Calibri" w:hAnsi="Calibri" w:cs="Calibri"/>
          <w:lang w:val="hr-HR"/>
        </w:rPr>
        <w:t xml:space="preserve">Ukoliko bilo koje od ovih tijela </w:t>
      </w:r>
      <w:r>
        <w:rPr>
          <w:rFonts w:ascii="Calibri" w:hAnsi="Calibri" w:cs="Calibri"/>
          <w:lang w:val="hr-HR"/>
        </w:rPr>
        <w:t>angažira</w:t>
      </w:r>
      <w:r w:rsidRPr="00EA7FD9">
        <w:rPr>
          <w:rFonts w:ascii="Calibri" w:hAnsi="Calibri" w:cs="Calibri"/>
          <w:lang w:val="hr-HR"/>
        </w:rPr>
        <w:t xml:space="preserve"> financijskog posrednika iz privatnog sektora za aktivnosti upravljanja fondom (koje pokriva</w:t>
      </w:r>
      <w:r>
        <w:rPr>
          <w:rFonts w:ascii="Calibri" w:hAnsi="Calibri" w:cs="Calibri"/>
          <w:lang w:val="hr-HR"/>
        </w:rPr>
        <w:t>ju</w:t>
      </w:r>
      <w:r w:rsidRPr="00EA7FD9">
        <w:rPr>
          <w:rFonts w:ascii="Calibri" w:hAnsi="Calibri" w:cs="Calibri"/>
          <w:lang w:val="hr-HR"/>
        </w:rPr>
        <w:t xml:space="preserve"> procjenu i odobrenje </w:t>
      </w:r>
      <w:r w:rsidRPr="000A0F56">
        <w:rPr>
          <w:rFonts w:ascii="Calibri" w:hAnsi="Calibri" w:cs="Calibri"/>
          <w:lang w:val="hr-HR"/>
        </w:rPr>
        <w:t>prijava za</w:t>
      </w:r>
      <w:r w:rsidRPr="00EA7FD9">
        <w:rPr>
          <w:rFonts w:ascii="Calibri" w:hAnsi="Calibri" w:cs="Calibri"/>
          <w:lang w:val="hr-HR"/>
        </w:rPr>
        <w:t xml:space="preserve"> financiranje, osiguranje regulatorne usklađenosti, praćenje i upravljanje ulaganjima – </w:t>
      </w:r>
      <w:r w:rsidRPr="000A0F56">
        <w:rPr>
          <w:rFonts w:ascii="Calibri" w:hAnsi="Calibri" w:cs="Calibri"/>
          <w:lang w:val="hr-HR"/>
        </w:rPr>
        <w:t>maksimizaciju dugoročne dobiti</w:t>
      </w:r>
      <w:r w:rsidRPr="00EA7FD9">
        <w:rPr>
          <w:rFonts w:ascii="Calibri" w:hAnsi="Calibri" w:cs="Calibri"/>
          <w:lang w:val="hr-HR"/>
        </w:rPr>
        <w:t xml:space="preserve"> za sami </w:t>
      </w:r>
      <w:r>
        <w:rPr>
          <w:rFonts w:ascii="Calibri" w:hAnsi="Calibri" w:cs="Calibri"/>
          <w:lang w:val="hr-HR"/>
        </w:rPr>
        <w:t>f</w:t>
      </w:r>
      <w:r w:rsidRPr="00EA7FD9">
        <w:rPr>
          <w:rFonts w:ascii="Calibri" w:hAnsi="Calibri" w:cs="Calibri"/>
          <w:lang w:val="hr-HR"/>
        </w:rPr>
        <w:t xml:space="preserve">ond), </w:t>
      </w:r>
      <w:r w:rsidRPr="0030601D">
        <w:rPr>
          <w:rFonts w:ascii="Calibri" w:hAnsi="Calibri" w:cs="Calibri"/>
          <w:u w:val="single"/>
          <w:lang w:val="hr-HR"/>
        </w:rPr>
        <w:t>odabir se mora temeljiti na</w:t>
      </w:r>
      <w:r w:rsidRPr="00EA7FD9">
        <w:rPr>
          <w:rFonts w:ascii="Calibri" w:hAnsi="Calibri" w:cs="Calibri"/>
          <w:lang w:val="hr-HR"/>
        </w:rPr>
        <w:t xml:space="preserve"> </w:t>
      </w:r>
      <w:r w:rsidRPr="00EA7FD9">
        <w:rPr>
          <w:rFonts w:ascii="Calibri" w:hAnsi="Calibri" w:cs="Calibri"/>
          <w:u w:val="single"/>
          <w:lang w:val="hr-HR"/>
        </w:rPr>
        <w:t>otvorenim, transparentnim, nediskrimin</w:t>
      </w:r>
      <w:r>
        <w:rPr>
          <w:rFonts w:ascii="Calibri" w:hAnsi="Calibri" w:cs="Calibri"/>
          <w:u w:val="single"/>
          <w:lang w:val="hr-HR"/>
        </w:rPr>
        <w:t>irajućim</w:t>
      </w:r>
      <w:r w:rsidRPr="00EA7FD9">
        <w:rPr>
          <w:rFonts w:ascii="Calibri" w:hAnsi="Calibri" w:cs="Calibri"/>
          <w:u w:val="single"/>
          <w:lang w:val="hr-HR"/>
        </w:rPr>
        <w:t xml:space="preserve"> postupcima (javne nabave)</w:t>
      </w:r>
      <w:r w:rsidRPr="00EA7FD9">
        <w:rPr>
          <w:rFonts w:ascii="Calibri" w:hAnsi="Calibri" w:cs="Calibri"/>
          <w:lang w:val="hr-HR"/>
        </w:rPr>
        <w:t xml:space="preserve"> u skladu s detaljnim kriterijima iznesenim u </w:t>
      </w:r>
      <w:r>
        <w:rPr>
          <w:rFonts w:ascii="Calibri" w:hAnsi="Calibri" w:cs="Calibri"/>
          <w:lang w:val="hr-HR"/>
        </w:rPr>
        <w:t>nacrtu provedbenog akta</w:t>
      </w:r>
      <w:r w:rsidRPr="00EA7FD9">
        <w:rPr>
          <w:rFonts w:ascii="Calibri" w:hAnsi="Calibri" w:cs="Calibri"/>
          <w:lang w:val="hr-HR"/>
        </w:rPr>
        <w:t>. Na</w:t>
      </w:r>
      <w:r>
        <w:rPr>
          <w:rFonts w:ascii="Calibri" w:hAnsi="Calibri" w:cs="Calibri"/>
          <w:lang w:val="hr-HR"/>
        </w:rPr>
        <w:t xml:space="preserve">knada </w:t>
      </w:r>
      <w:r w:rsidRPr="00EA7FD9">
        <w:rPr>
          <w:rFonts w:ascii="Calibri" w:hAnsi="Calibri" w:cs="Calibri"/>
          <w:lang w:val="hr-HR"/>
        </w:rPr>
        <w:t>tijel</w:t>
      </w:r>
      <w:r>
        <w:rPr>
          <w:rFonts w:ascii="Calibri" w:hAnsi="Calibri" w:cs="Calibri"/>
          <w:lang w:val="hr-HR"/>
        </w:rPr>
        <w:t>im</w:t>
      </w:r>
      <w:r w:rsidRPr="00EA7FD9">
        <w:rPr>
          <w:rFonts w:ascii="Calibri" w:hAnsi="Calibri" w:cs="Calibri"/>
          <w:lang w:val="hr-HR"/>
        </w:rPr>
        <w:t xml:space="preserve">a koja upravljaju fondovima također mora biti u skladu s </w:t>
      </w:r>
      <w:r w:rsidRPr="000A0F56">
        <w:rPr>
          <w:rFonts w:ascii="Calibri" w:hAnsi="Calibri" w:cs="Calibri"/>
          <w:lang w:val="hr-HR"/>
        </w:rPr>
        <w:t xml:space="preserve">rasponom i </w:t>
      </w:r>
      <w:r>
        <w:rPr>
          <w:rFonts w:ascii="Calibri" w:hAnsi="Calibri" w:cs="Calibri"/>
          <w:lang w:val="hr-HR"/>
        </w:rPr>
        <w:t>maksimalnim iznosima</w:t>
      </w:r>
      <w:r w:rsidRPr="00EA7FD9">
        <w:rPr>
          <w:rFonts w:ascii="Calibri" w:hAnsi="Calibri" w:cs="Calibri"/>
          <w:lang w:val="hr-HR"/>
        </w:rPr>
        <w:t xml:space="preserve"> </w:t>
      </w:r>
      <w:r>
        <w:rPr>
          <w:rFonts w:ascii="Calibri" w:hAnsi="Calibri" w:cs="Calibri"/>
          <w:lang w:val="hr-HR"/>
        </w:rPr>
        <w:t>definiranim</w:t>
      </w:r>
      <w:r w:rsidRPr="00EA7FD9">
        <w:rPr>
          <w:rFonts w:ascii="Calibri" w:hAnsi="Calibri" w:cs="Calibri"/>
          <w:lang w:val="hr-HR"/>
        </w:rPr>
        <w:t xml:space="preserve"> u </w:t>
      </w:r>
      <w:r>
        <w:rPr>
          <w:rFonts w:ascii="Calibri" w:hAnsi="Calibri" w:cs="Calibri"/>
          <w:lang w:val="hr-HR"/>
        </w:rPr>
        <w:t>provedbenom aktu</w:t>
      </w:r>
      <w:r w:rsidRPr="00EA7FD9">
        <w:rPr>
          <w:rFonts w:ascii="Calibri" w:hAnsi="Calibri" w:cs="Calibri"/>
          <w:lang w:val="hr-HR"/>
        </w:rPr>
        <w:t xml:space="preserve"> za različite vrste instrumenata.  </w:t>
      </w:r>
    </w:p>
    <w:p w14:paraId="1E27D359" w14:textId="77777777" w:rsidR="00132E7D" w:rsidRPr="00EA7FD9" w:rsidRDefault="00132E7D" w:rsidP="00F030D3">
      <w:pPr>
        <w:spacing w:before="40" w:after="40" w:line="300" w:lineRule="auto"/>
        <w:rPr>
          <w:rFonts w:ascii="Calibri" w:hAnsi="Calibri" w:cs="Calibri"/>
          <w:lang w:val="hr-HR"/>
        </w:rPr>
      </w:pPr>
      <w:r>
        <w:rPr>
          <w:rFonts w:ascii="Calibri" w:hAnsi="Calibri" w:cs="Calibri"/>
          <w:lang w:val="hr-HR"/>
        </w:rPr>
        <w:t>U sklopu prethodnih financijskih perspektiva</w:t>
      </w:r>
      <w:r w:rsidRPr="00EA7FD9">
        <w:rPr>
          <w:rFonts w:ascii="Calibri" w:hAnsi="Calibri" w:cs="Calibri"/>
          <w:lang w:val="hr-HR"/>
        </w:rPr>
        <w:t xml:space="preserve">, države članice često su uspostavu financijskih instrumenata </w:t>
      </w:r>
      <w:r>
        <w:rPr>
          <w:rFonts w:ascii="Calibri" w:hAnsi="Calibri" w:cs="Calibri"/>
          <w:lang w:val="hr-HR"/>
        </w:rPr>
        <w:t>smatrale jednostavnim</w:t>
      </w:r>
      <w:r w:rsidRPr="00EA7FD9">
        <w:rPr>
          <w:rFonts w:ascii="Calibri" w:hAnsi="Calibri" w:cs="Calibri"/>
          <w:lang w:val="hr-HR"/>
        </w:rPr>
        <w:t xml:space="preserve"> načinom ispunjenja </w:t>
      </w:r>
      <w:r>
        <w:rPr>
          <w:rFonts w:ascii="Calibri" w:hAnsi="Calibri" w:cs="Calibri"/>
          <w:lang w:val="hr-HR"/>
        </w:rPr>
        <w:t xml:space="preserve">zahtjeva </w:t>
      </w:r>
      <w:r w:rsidRPr="008F1F45">
        <w:rPr>
          <w:rFonts w:ascii="Calibri" w:hAnsi="Calibri" w:cs="Calibri"/>
          <w:lang w:val="hr-HR"/>
        </w:rPr>
        <w:t>‘n+2’ vezanih uz izdatke</w:t>
      </w:r>
      <w:r w:rsidRPr="00EA7FD9">
        <w:rPr>
          <w:rFonts w:ascii="Calibri" w:hAnsi="Calibri" w:cs="Calibri"/>
          <w:lang w:val="hr-HR"/>
        </w:rPr>
        <w:t xml:space="preserve"> na razini OP-a budući da su </w:t>
      </w:r>
      <w:r>
        <w:rPr>
          <w:rFonts w:ascii="Calibri" w:hAnsi="Calibri" w:cs="Calibri"/>
          <w:lang w:val="hr-HR"/>
        </w:rPr>
        <w:t xml:space="preserve">se </w:t>
      </w:r>
      <w:r w:rsidRPr="00EA7FD9">
        <w:rPr>
          <w:rFonts w:ascii="Calibri" w:hAnsi="Calibri" w:cs="Calibri"/>
          <w:lang w:val="hr-HR"/>
        </w:rPr>
        <w:t xml:space="preserve">plaćanja za takve instrumente </w:t>
      </w:r>
      <w:r>
        <w:rPr>
          <w:rFonts w:ascii="Calibri" w:hAnsi="Calibri" w:cs="Calibri"/>
          <w:lang w:val="hr-HR"/>
        </w:rPr>
        <w:t>obavljala</w:t>
      </w:r>
      <w:r w:rsidRPr="00EA7FD9">
        <w:rPr>
          <w:rFonts w:ascii="Calibri" w:hAnsi="Calibri" w:cs="Calibri"/>
          <w:lang w:val="hr-HR"/>
        </w:rPr>
        <w:t xml:space="preserve"> na samom početku te su se odmah smatrala utrošenim sredstvima. Međutim, za razdoblje 2014.-2020. </w:t>
      </w:r>
      <w:r w:rsidRPr="00B57D71">
        <w:rPr>
          <w:rFonts w:ascii="Calibri" w:hAnsi="Calibri" w:cs="Calibri"/>
          <w:lang w:val="hr-HR"/>
        </w:rPr>
        <w:t>na iznose uplaćene iz OP-a u financijske instrumente primjenjuju se sljedeće gornje granice:</w:t>
      </w:r>
    </w:p>
    <w:p w14:paraId="78E3ADCF" w14:textId="77777777" w:rsidR="00132E7D" w:rsidRPr="00EA7FD9" w:rsidRDefault="00132E7D" w:rsidP="00F030D3">
      <w:pPr>
        <w:numPr>
          <w:ilvl w:val="0"/>
          <w:numId w:val="22"/>
        </w:numPr>
        <w:spacing w:before="40" w:after="40" w:line="300" w:lineRule="auto"/>
        <w:ind w:left="714" w:hanging="357"/>
        <w:rPr>
          <w:rFonts w:ascii="Calibri" w:hAnsi="Calibri" w:cs="Calibri"/>
          <w:lang w:val="hr-HR"/>
        </w:rPr>
      </w:pPr>
      <w:r>
        <w:rPr>
          <w:rFonts w:ascii="Calibri" w:hAnsi="Calibri" w:cs="Calibri"/>
          <w:lang w:val="hr-HR"/>
        </w:rPr>
        <w:t>prva</w:t>
      </w:r>
      <w:r w:rsidRPr="00EA7FD9">
        <w:rPr>
          <w:rFonts w:ascii="Calibri" w:hAnsi="Calibri" w:cs="Calibri"/>
          <w:lang w:val="hr-HR"/>
        </w:rPr>
        <w:t xml:space="preserve"> </w:t>
      </w:r>
      <w:r>
        <w:rPr>
          <w:rFonts w:ascii="Calibri" w:hAnsi="Calibri" w:cs="Calibri"/>
          <w:lang w:val="hr-HR"/>
        </w:rPr>
        <w:t>uplata</w:t>
      </w:r>
      <w:r w:rsidRPr="00EA7FD9">
        <w:rPr>
          <w:rFonts w:ascii="Calibri" w:hAnsi="Calibri" w:cs="Calibri"/>
          <w:lang w:val="hr-HR"/>
        </w:rPr>
        <w:t xml:space="preserve"> mora iznositi manje od 25% od ukupnih </w:t>
      </w:r>
      <w:r>
        <w:rPr>
          <w:rFonts w:ascii="Calibri" w:hAnsi="Calibri" w:cs="Calibri"/>
          <w:lang w:val="hr-HR"/>
        </w:rPr>
        <w:t>sredstava</w:t>
      </w:r>
      <w:r w:rsidRPr="00EA7FD9">
        <w:rPr>
          <w:rFonts w:ascii="Calibri" w:hAnsi="Calibri" w:cs="Calibri"/>
          <w:lang w:val="hr-HR"/>
        </w:rPr>
        <w:t xml:space="preserve"> namijenjenih za instrument</w:t>
      </w:r>
      <w:r>
        <w:rPr>
          <w:rFonts w:ascii="Calibri" w:hAnsi="Calibri" w:cs="Calibri"/>
          <w:lang w:val="hr-HR"/>
        </w:rPr>
        <w:t>;</w:t>
      </w:r>
    </w:p>
    <w:p w14:paraId="518FCC0B" w14:textId="77777777" w:rsidR="00132E7D" w:rsidRPr="00EA7FD9" w:rsidRDefault="00132E7D" w:rsidP="00F030D3">
      <w:pPr>
        <w:numPr>
          <w:ilvl w:val="0"/>
          <w:numId w:val="22"/>
        </w:numPr>
        <w:spacing w:before="40" w:after="40" w:line="300" w:lineRule="auto"/>
        <w:ind w:left="714" w:hanging="357"/>
        <w:rPr>
          <w:rFonts w:ascii="Calibri" w:hAnsi="Calibri" w:cs="Calibri"/>
          <w:lang w:val="hr-HR"/>
        </w:rPr>
      </w:pPr>
      <w:r>
        <w:rPr>
          <w:rFonts w:ascii="Calibri" w:hAnsi="Calibri" w:cs="Calibri"/>
          <w:lang w:val="hr-HR"/>
        </w:rPr>
        <w:t>druga</w:t>
      </w:r>
      <w:r w:rsidRPr="00EA7FD9">
        <w:rPr>
          <w:rFonts w:ascii="Calibri" w:hAnsi="Calibri" w:cs="Calibri"/>
          <w:lang w:val="hr-HR"/>
        </w:rPr>
        <w:t xml:space="preserve"> se </w:t>
      </w:r>
      <w:r>
        <w:rPr>
          <w:rFonts w:ascii="Calibri" w:hAnsi="Calibri" w:cs="Calibri"/>
          <w:lang w:val="hr-HR"/>
        </w:rPr>
        <w:t>uplata</w:t>
      </w:r>
      <w:r w:rsidRPr="00EA7FD9">
        <w:rPr>
          <w:rFonts w:ascii="Calibri" w:hAnsi="Calibri" w:cs="Calibri"/>
          <w:lang w:val="hr-HR"/>
        </w:rPr>
        <w:t xml:space="preserve"> </w:t>
      </w:r>
      <w:r>
        <w:rPr>
          <w:rFonts w:ascii="Calibri" w:hAnsi="Calibri" w:cs="Calibri"/>
          <w:lang w:val="hr-HR"/>
        </w:rPr>
        <w:t>obavlja</w:t>
      </w:r>
      <w:r w:rsidRPr="00EA7FD9">
        <w:rPr>
          <w:rFonts w:ascii="Calibri" w:hAnsi="Calibri" w:cs="Calibri"/>
          <w:lang w:val="hr-HR"/>
        </w:rPr>
        <w:t xml:space="preserve"> tek nakon ulaganja 60%</w:t>
      </w:r>
      <w:r>
        <w:rPr>
          <w:rFonts w:ascii="Calibri" w:hAnsi="Calibri" w:cs="Calibri"/>
          <w:lang w:val="hr-HR"/>
        </w:rPr>
        <w:t xml:space="preserve"> od</w:t>
      </w:r>
      <w:r w:rsidRPr="00EA7FD9">
        <w:rPr>
          <w:rFonts w:ascii="Calibri" w:hAnsi="Calibri" w:cs="Calibri"/>
          <w:lang w:val="hr-HR"/>
        </w:rPr>
        <w:t xml:space="preserve"> </w:t>
      </w:r>
      <w:r>
        <w:rPr>
          <w:rFonts w:ascii="Calibri" w:hAnsi="Calibri" w:cs="Calibri"/>
          <w:lang w:val="hr-HR"/>
        </w:rPr>
        <w:t xml:space="preserve">iznosa </w:t>
      </w:r>
      <w:r w:rsidRPr="00EA7FD9">
        <w:rPr>
          <w:rFonts w:ascii="Calibri" w:hAnsi="Calibri" w:cs="Calibri"/>
          <w:lang w:val="hr-HR"/>
        </w:rPr>
        <w:t>inicijalne tranše</w:t>
      </w:r>
      <w:r>
        <w:rPr>
          <w:rFonts w:ascii="Calibri" w:hAnsi="Calibri" w:cs="Calibri"/>
          <w:lang w:val="hr-HR"/>
        </w:rPr>
        <w:t>;</w:t>
      </w:r>
    </w:p>
    <w:p w14:paraId="1493A6ED" w14:textId="77777777" w:rsidR="00132E7D" w:rsidRPr="00EA7FD9" w:rsidRDefault="00132E7D" w:rsidP="00F030D3">
      <w:pPr>
        <w:numPr>
          <w:ilvl w:val="0"/>
          <w:numId w:val="22"/>
        </w:numPr>
        <w:spacing w:before="40" w:after="40" w:line="300" w:lineRule="auto"/>
        <w:ind w:left="714" w:hanging="357"/>
        <w:rPr>
          <w:rFonts w:ascii="Calibri" w:hAnsi="Calibri" w:cs="Calibri"/>
          <w:lang w:val="hr-HR"/>
        </w:rPr>
      </w:pPr>
      <w:r w:rsidRPr="006F4187">
        <w:rPr>
          <w:rFonts w:ascii="Calibri" w:hAnsi="Calibri" w:cs="Calibri"/>
          <w:lang w:val="hr-HR"/>
        </w:rPr>
        <w:t xml:space="preserve">daljnje uplate </w:t>
      </w:r>
      <w:r>
        <w:rPr>
          <w:rFonts w:ascii="Calibri" w:hAnsi="Calibri" w:cs="Calibri"/>
          <w:lang w:val="hr-HR"/>
        </w:rPr>
        <w:t>obavljaju</w:t>
      </w:r>
      <w:r w:rsidRPr="006F4187">
        <w:rPr>
          <w:rFonts w:ascii="Calibri" w:hAnsi="Calibri" w:cs="Calibri"/>
          <w:lang w:val="hr-HR"/>
        </w:rPr>
        <w:t xml:space="preserve"> se</w:t>
      </w:r>
      <w:r w:rsidRPr="00EA7FD9">
        <w:rPr>
          <w:rFonts w:ascii="Calibri" w:hAnsi="Calibri" w:cs="Calibri"/>
          <w:lang w:val="hr-HR"/>
        </w:rPr>
        <w:t xml:space="preserve"> tek nakon ulaganja 85% </w:t>
      </w:r>
      <w:r>
        <w:rPr>
          <w:rFonts w:ascii="Calibri" w:hAnsi="Calibri" w:cs="Calibri"/>
          <w:lang w:val="hr-HR"/>
        </w:rPr>
        <w:t xml:space="preserve">od iznosa </w:t>
      </w:r>
      <w:r w:rsidRPr="00EA7FD9">
        <w:rPr>
          <w:rFonts w:ascii="Calibri" w:hAnsi="Calibri" w:cs="Calibri"/>
          <w:lang w:val="hr-HR"/>
        </w:rPr>
        <w:t>prethodne tranše</w:t>
      </w:r>
    </w:p>
    <w:p w14:paraId="7F779F45" w14:textId="77777777" w:rsidR="00132E7D" w:rsidRPr="00EA7FD9" w:rsidRDefault="00132E7D" w:rsidP="00F030D3">
      <w:pPr>
        <w:tabs>
          <w:tab w:val="num" w:pos="1440"/>
        </w:tabs>
        <w:spacing w:before="40" w:after="40" w:line="300" w:lineRule="auto"/>
        <w:rPr>
          <w:rFonts w:ascii="Calibri" w:hAnsi="Calibri" w:cs="Calibri"/>
          <w:lang w:val="hr-HR"/>
        </w:rPr>
      </w:pPr>
      <w:r w:rsidRPr="00EA7FD9">
        <w:rPr>
          <w:rFonts w:ascii="Calibri" w:hAnsi="Calibri" w:cs="Calibri"/>
          <w:lang w:val="hr-HR"/>
        </w:rPr>
        <w:t xml:space="preserve">Namjera Komisije je izbjegavanje prijenosa velikih </w:t>
      </w:r>
      <w:r>
        <w:rPr>
          <w:rFonts w:ascii="Calibri" w:hAnsi="Calibri" w:cs="Calibri"/>
          <w:lang w:val="hr-HR"/>
        </w:rPr>
        <w:t>sredstava</w:t>
      </w:r>
      <w:r w:rsidRPr="00EA7FD9">
        <w:rPr>
          <w:rFonts w:ascii="Calibri" w:hAnsi="Calibri" w:cs="Calibri"/>
          <w:lang w:val="hr-HR"/>
        </w:rPr>
        <w:t xml:space="preserve"> u financijske instrumente nakon čega slijedi spora provedba. Kako bi se osiguralo da financijski instrumenti budu ‘</w:t>
      </w:r>
      <w:r w:rsidRPr="004D26AA">
        <w:rPr>
          <w:rFonts w:ascii="Calibri" w:hAnsi="Calibri" w:cs="Calibri"/>
          <w:i/>
          <w:iCs/>
          <w:lang w:val="hr-HR"/>
        </w:rPr>
        <w:t>revolving</w:t>
      </w:r>
      <w:r w:rsidRPr="00EA7FD9">
        <w:rPr>
          <w:rFonts w:ascii="Calibri" w:hAnsi="Calibri" w:cs="Calibri"/>
          <w:lang w:val="hr-HR"/>
        </w:rPr>
        <w:t xml:space="preserve">’ karaktera, </w:t>
      </w:r>
      <w:r>
        <w:rPr>
          <w:rFonts w:ascii="Calibri" w:hAnsi="Calibri" w:cs="Calibri"/>
          <w:lang w:val="hr-HR"/>
        </w:rPr>
        <w:t>sredstva koja se vraćaju u obliku kapitalnog povrata i financijskih dobitaka -</w:t>
      </w:r>
      <w:r w:rsidRPr="00EA7FD9">
        <w:rPr>
          <w:rFonts w:ascii="Calibri" w:hAnsi="Calibri" w:cs="Calibri"/>
          <w:lang w:val="hr-HR"/>
        </w:rPr>
        <w:t xml:space="preserve"> </w:t>
      </w:r>
      <w:r>
        <w:rPr>
          <w:rFonts w:ascii="Calibri" w:hAnsi="Calibri" w:cs="Calibri"/>
          <w:lang w:val="hr-HR"/>
        </w:rPr>
        <w:t xml:space="preserve">koji se mogu pripisati potpori iz fondova </w:t>
      </w:r>
      <w:r w:rsidRPr="00B57D71">
        <w:rPr>
          <w:rFonts w:ascii="Calibri" w:hAnsi="Calibri" w:cs="Calibri"/>
          <w:lang w:val="hr-HR"/>
        </w:rPr>
        <w:t>EU-a</w:t>
      </w:r>
      <w:r w:rsidRPr="00EA7FD9">
        <w:rPr>
          <w:rFonts w:ascii="Calibri" w:hAnsi="Calibri" w:cs="Calibri"/>
          <w:lang w:val="hr-HR"/>
        </w:rPr>
        <w:t xml:space="preserve"> uložen</w:t>
      </w:r>
      <w:r>
        <w:rPr>
          <w:rFonts w:ascii="Calibri" w:hAnsi="Calibri" w:cs="Calibri"/>
          <w:lang w:val="hr-HR"/>
        </w:rPr>
        <w:t>oj</w:t>
      </w:r>
      <w:r w:rsidRPr="00EA7FD9">
        <w:rPr>
          <w:rFonts w:ascii="Calibri" w:hAnsi="Calibri" w:cs="Calibri"/>
          <w:lang w:val="hr-HR"/>
        </w:rPr>
        <w:t xml:space="preserve"> u financijski instrument</w:t>
      </w:r>
      <w:r>
        <w:rPr>
          <w:rFonts w:ascii="Calibri" w:hAnsi="Calibri" w:cs="Calibri"/>
          <w:lang w:val="hr-HR"/>
        </w:rPr>
        <w:t xml:space="preserve"> -</w:t>
      </w:r>
      <w:r w:rsidRPr="00EA7FD9">
        <w:rPr>
          <w:rFonts w:ascii="Calibri" w:hAnsi="Calibri" w:cs="Calibri"/>
          <w:lang w:val="hr-HR"/>
        </w:rPr>
        <w:t xml:space="preserve"> mora</w:t>
      </w:r>
      <w:r>
        <w:rPr>
          <w:rFonts w:ascii="Calibri" w:hAnsi="Calibri" w:cs="Calibri"/>
          <w:lang w:val="hr-HR"/>
        </w:rPr>
        <w:t>ju</w:t>
      </w:r>
      <w:r w:rsidRPr="00EA7FD9">
        <w:rPr>
          <w:rFonts w:ascii="Calibri" w:hAnsi="Calibri" w:cs="Calibri"/>
          <w:lang w:val="hr-HR"/>
        </w:rPr>
        <w:t xml:space="preserve"> se koristiti </w:t>
      </w:r>
      <w:r>
        <w:rPr>
          <w:rFonts w:ascii="Calibri" w:hAnsi="Calibri" w:cs="Calibri"/>
          <w:lang w:val="hr-HR"/>
        </w:rPr>
        <w:t>u</w:t>
      </w:r>
      <w:r w:rsidRPr="00EA7FD9">
        <w:rPr>
          <w:rFonts w:ascii="Calibri" w:hAnsi="Calibri" w:cs="Calibri"/>
          <w:lang w:val="hr-HR"/>
        </w:rPr>
        <w:t xml:space="preserve"> istu svrhu najmanje </w:t>
      </w:r>
      <w:r>
        <w:rPr>
          <w:rFonts w:ascii="Calibri" w:hAnsi="Calibri" w:cs="Calibri"/>
          <w:lang w:val="hr-HR"/>
        </w:rPr>
        <w:t>osam</w:t>
      </w:r>
      <w:r w:rsidRPr="00EA7FD9">
        <w:rPr>
          <w:rFonts w:ascii="Calibri" w:hAnsi="Calibri" w:cs="Calibri"/>
          <w:lang w:val="hr-HR"/>
        </w:rPr>
        <w:t xml:space="preserve"> godina po završetku </w:t>
      </w:r>
      <w:r>
        <w:rPr>
          <w:rFonts w:ascii="Calibri" w:hAnsi="Calibri" w:cs="Calibri"/>
          <w:lang w:val="hr-HR"/>
        </w:rPr>
        <w:t xml:space="preserve">razdoblja prihvatljivosti izdataka </w:t>
      </w:r>
      <w:r w:rsidRPr="00EA7FD9">
        <w:rPr>
          <w:rFonts w:ascii="Calibri" w:hAnsi="Calibri" w:cs="Calibri"/>
          <w:lang w:val="hr-HR"/>
        </w:rPr>
        <w:t>OP</w:t>
      </w:r>
      <w:r>
        <w:rPr>
          <w:rFonts w:ascii="Calibri" w:hAnsi="Calibri" w:cs="Calibri"/>
          <w:lang w:val="hr-HR"/>
        </w:rPr>
        <w:t>-a</w:t>
      </w:r>
      <w:r w:rsidRPr="00EA7FD9">
        <w:rPr>
          <w:rFonts w:ascii="Calibri" w:hAnsi="Calibri" w:cs="Calibri"/>
          <w:lang w:val="hr-HR"/>
        </w:rPr>
        <w:t xml:space="preserve">, </w:t>
      </w:r>
      <w:r>
        <w:rPr>
          <w:rFonts w:ascii="Calibri" w:hAnsi="Calibri" w:cs="Calibri"/>
          <w:lang w:val="hr-HR"/>
        </w:rPr>
        <w:t>a</w:t>
      </w:r>
      <w:r w:rsidRPr="00EA7FD9">
        <w:rPr>
          <w:rFonts w:ascii="Calibri" w:hAnsi="Calibri" w:cs="Calibri"/>
          <w:lang w:val="hr-HR"/>
        </w:rPr>
        <w:t xml:space="preserve"> u slučaju OP-a za razdoblje 2014.-2020.</w:t>
      </w:r>
      <w:r>
        <w:rPr>
          <w:rFonts w:ascii="Calibri" w:hAnsi="Calibri" w:cs="Calibri"/>
          <w:lang w:val="hr-HR"/>
        </w:rPr>
        <w:t>,</w:t>
      </w:r>
      <w:r w:rsidRPr="006F4187">
        <w:rPr>
          <w:rFonts w:ascii="Calibri" w:hAnsi="Calibri" w:cs="Calibri"/>
          <w:lang w:val="hr-HR"/>
        </w:rPr>
        <w:t xml:space="preserve"> do 2031.</w:t>
      </w:r>
      <w:r>
        <w:rPr>
          <w:rFonts w:ascii="Calibri" w:hAnsi="Calibri" w:cs="Calibri"/>
          <w:lang w:val="hr-HR"/>
        </w:rPr>
        <w:t xml:space="preserve"> godine.</w:t>
      </w:r>
    </w:p>
    <w:p w14:paraId="2B261DB8" w14:textId="1E101C58" w:rsidR="00132E7D" w:rsidRPr="00EA7FD9" w:rsidRDefault="00132E7D" w:rsidP="00F030D3">
      <w:pPr>
        <w:tabs>
          <w:tab w:val="num" w:pos="1440"/>
        </w:tabs>
        <w:spacing w:before="40" w:after="40" w:line="300" w:lineRule="auto"/>
        <w:rPr>
          <w:rFonts w:ascii="Calibri" w:hAnsi="Calibri" w:cs="Calibri"/>
          <w:lang w:val="hr-HR"/>
        </w:rPr>
      </w:pPr>
      <w:r>
        <w:rPr>
          <w:rFonts w:ascii="Calibri" w:hAnsi="Calibri" w:cs="Calibri"/>
          <w:lang w:val="hr-HR"/>
        </w:rPr>
        <w:t>Zanimljivo je da se, kada je riječ o</w:t>
      </w:r>
      <w:r w:rsidRPr="00EA7FD9">
        <w:rPr>
          <w:rFonts w:ascii="Calibri" w:hAnsi="Calibri" w:cs="Calibri"/>
          <w:lang w:val="hr-HR"/>
        </w:rPr>
        <w:t xml:space="preserve"> JESSICA</w:t>
      </w:r>
      <w:r>
        <w:rPr>
          <w:rFonts w:ascii="Calibri" w:hAnsi="Calibri" w:cs="Calibri"/>
          <w:lang w:val="hr-HR"/>
        </w:rPr>
        <w:t>-i</w:t>
      </w:r>
      <w:r w:rsidRPr="00EA7FD9">
        <w:rPr>
          <w:rFonts w:ascii="Calibri" w:hAnsi="Calibri" w:cs="Calibri"/>
          <w:lang w:val="hr-HR"/>
        </w:rPr>
        <w:t>, zemljište može koristiti (iznimno za financijske instrumente)</w:t>
      </w:r>
      <w:r>
        <w:rPr>
          <w:rFonts w:ascii="Calibri" w:hAnsi="Calibri" w:cs="Calibri"/>
          <w:lang w:val="hr-HR"/>
        </w:rPr>
        <w:t>,</w:t>
      </w:r>
      <w:r w:rsidRPr="00EA7FD9">
        <w:rPr>
          <w:rFonts w:ascii="Calibri" w:hAnsi="Calibri" w:cs="Calibri"/>
          <w:lang w:val="hr-HR"/>
        </w:rPr>
        <w:t xml:space="preserve"> kao </w:t>
      </w:r>
      <w:r>
        <w:rPr>
          <w:rFonts w:ascii="Calibri" w:hAnsi="Calibri" w:cs="Calibri"/>
          <w:lang w:val="hr-HR"/>
        </w:rPr>
        <w:t>doprinos u naravi</w:t>
      </w:r>
      <w:r w:rsidRPr="00EA7FD9">
        <w:rPr>
          <w:rFonts w:ascii="Calibri" w:hAnsi="Calibri" w:cs="Calibri"/>
          <w:lang w:val="hr-HR"/>
        </w:rPr>
        <w:t xml:space="preserve"> ulaganjima u ‘održivi urbani razvoj’. Deleg</w:t>
      </w:r>
      <w:r>
        <w:rPr>
          <w:rFonts w:ascii="Calibri" w:hAnsi="Calibri" w:cs="Calibri"/>
          <w:lang w:val="hr-HR"/>
        </w:rPr>
        <w:t>irani akti</w:t>
      </w:r>
      <w:r w:rsidRPr="00EA7FD9">
        <w:rPr>
          <w:rFonts w:ascii="Calibri" w:hAnsi="Calibri" w:cs="Calibri"/>
          <w:lang w:val="hr-HR"/>
        </w:rPr>
        <w:t xml:space="preserve"> dalje nalažu da </w:t>
      </w:r>
      <w:r w:rsidRPr="00C41040">
        <w:rPr>
          <w:rFonts w:ascii="Calibri" w:hAnsi="Calibri" w:cs="Calibri"/>
          <w:lang w:val="hr-HR"/>
        </w:rPr>
        <w:t xml:space="preserve">se na </w:t>
      </w:r>
      <w:r>
        <w:rPr>
          <w:rFonts w:ascii="Calibri" w:hAnsi="Calibri" w:cs="Calibri"/>
          <w:u w:val="single"/>
          <w:lang w:val="hr-HR"/>
        </w:rPr>
        <w:t>z</w:t>
      </w:r>
      <w:r w:rsidRPr="00EA7FD9">
        <w:rPr>
          <w:rFonts w:ascii="Calibri" w:hAnsi="Calibri" w:cs="Calibri"/>
          <w:u w:val="single"/>
          <w:lang w:val="hr-HR"/>
        </w:rPr>
        <w:t xml:space="preserve">emljište može </w:t>
      </w:r>
      <w:r>
        <w:rPr>
          <w:rFonts w:ascii="Calibri" w:hAnsi="Calibri" w:cs="Calibri"/>
          <w:u w:val="single"/>
          <w:lang w:val="hr-HR"/>
        </w:rPr>
        <w:t>odnositi</w:t>
      </w:r>
      <w:r w:rsidRPr="00EA7FD9">
        <w:rPr>
          <w:rFonts w:ascii="Calibri" w:hAnsi="Calibri" w:cs="Calibri"/>
          <w:u w:val="single"/>
          <w:lang w:val="hr-HR"/>
        </w:rPr>
        <w:t xml:space="preserve"> do 20% od ukupnih </w:t>
      </w:r>
      <w:r>
        <w:rPr>
          <w:rFonts w:ascii="Calibri" w:hAnsi="Calibri" w:cs="Calibri"/>
          <w:u w:val="single"/>
          <w:lang w:val="hr-HR"/>
        </w:rPr>
        <w:t>prihvatljivih</w:t>
      </w:r>
      <w:r w:rsidRPr="00EA7FD9">
        <w:rPr>
          <w:rFonts w:ascii="Calibri" w:hAnsi="Calibri" w:cs="Calibri"/>
          <w:u w:val="single"/>
          <w:lang w:val="hr-HR"/>
        </w:rPr>
        <w:t xml:space="preserve"> troškova</w:t>
      </w:r>
      <w:r w:rsidRPr="00EA7FD9">
        <w:rPr>
          <w:rFonts w:ascii="Calibri" w:hAnsi="Calibri" w:cs="Calibri"/>
          <w:lang w:val="hr-HR"/>
        </w:rPr>
        <w:t xml:space="preserve"> takvog ulaganja (</w:t>
      </w:r>
      <w:r>
        <w:rPr>
          <w:rFonts w:ascii="Calibri" w:hAnsi="Calibri" w:cs="Calibri"/>
          <w:lang w:val="hr-HR"/>
        </w:rPr>
        <w:t xml:space="preserve">moguće i </w:t>
      </w:r>
      <w:r w:rsidRPr="00EA7FD9">
        <w:rPr>
          <w:rFonts w:ascii="Calibri" w:hAnsi="Calibri" w:cs="Calibri"/>
          <w:lang w:val="hr-HR"/>
        </w:rPr>
        <w:t>više za ulaganja u očuvanje okoliša), za razliku od 10% kod tradicionalnog financiranja</w:t>
      </w:r>
      <w:r>
        <w:rPr>
          <w:rFonts w:ascii="Calibri" w:hAnsi="Calibri" w:cs="Calibri"/>
          <w:lang w:val="hr-HR"/>
        </w:rPr>
        <w:t xml:space="preserve"> u obliku bespovratnih sredstava</w:t>
      </w:r>
      <w:r w:rsidRPr="00EA7FD9">
        <w:rPr>
          <w:rFonts w:ascii="Calibri" w:hAnsi="Calibri" w:cs="Calibri"/>
          <w:lang w:val="hr-HR"/>
        </w:rPr>
        <w:t>.</w:t>
      </w:r>
    </w:p>
    <w:p w14:paraId="704ED4DD" w14:textId="77777777" w:rsidR="00132E7D" w:rsidRPr="00EA7FD9" w:rsidRDefault="00132E7D" w:rsidP="00F030D3">
      <w:pPr>
        <w:spacing w:before="40" w:after="40" w:line="300" w:lineRule="auto"/>
        <w:rPr>
          <w:rFonts w:ascii="Calibri" w:hAnsi="Calibri" w:cs="Calibri"/>
          <w:lang w:val="hr-HR"/>
        </w:rPr>
      </w:pPr>
    </w:p>
    <w:p w14:paraId="1B4904E5" w14:textId="77777777" w:rsidR="00132E7D" w:rsidRPr="00EA7FD9" w:rsidRDefault="00132E7D" w:rsidP="00F030D3">
      <w:pPr>
        <w:spacing w:before="40" w:after="40" w:line="300" w:lineRule="auto"/>
        <w:rPr>
          <w:rFonts w:ascii="Calibri" w:hAnsi="Calibri" w:cs="Calibri"/>
          <w:b/>
          <w:bCs/>
          <w:i/>
          <w:iCs/>
          <w:lang w:val="hr-HR"/>
        </w:rPr>
      </w:pPr>
      <w:r w:rsidRPr="00EA7FD9">
        <w:rPr>
          <w:rFonts w:ascii="Calibri" w:hAnsi="Calibri" w:cs="Calibri"/>
          <w:b/>
          <w:bCs/>
          <w:i/>
          <w:iCs/>
          <w:lang w:val="hr-HR"/>
        </w:rPr>
        <w:t>JESSICA i državne potpore</w:t>
      </w:r>
    </w:p>
    <w:p w14:paraId="5B4D7A2A" w14:textId="77777777" w:rsidR="00132E7D" w:rsidRPr="00EA7FD9" w:rsidRDefault="00132E7D" w:rsidP="00F030D3">
      <w:pPr>
        <w:spacing w:before="40" w:after="40" w:line="300" w:lineRule="auto"/>
        <w:rPr>
          <w:rFonts w:ascii="Calibri" w:hAnsi="Calibri" w:cs="Calibri"/>
          <w:lang w:val="hr-HR"/>
        </w:rPr>
      </w:pPr>
      <w:r w:rsidRPr="006F4187">
        <w:rPr>
          <w:rFonts w:ascii="Calibri" w:hAnsi="Calibri" w:cs="Calibri"/>
          <w:lang w:val="hr-HR"/>
        </w:rPr>
        <w:t>Instrument JESSICA usmjeren je na pitan</w:t>
      </w:r>
      <w:r>
        <w:rPr>
          <w:rFonts w:ascii="Calibri" w:hAnsi="Calibri" w:cs="Calibri"/>
          <w:lang w:val="hr-HR"/>
        </w:rPr>
        <w:t>j</w:t>
      </w:r>
      <w:r w:rsidRPr="006F4187">
        <w:rPr>
          <w:rFonts w:ascii="Calibri" w:hAnsi="Calibri" w:cs="Calibri"/>
          <w:lang w:val="hr-HR"/>
        </w:rPr>
        <w:t>e tržišnog neuspjeha</w:t>
      </w:r>
      <w:r w:rsidRPr="00EA7FD9">
        <w:rPr>
          <w:rFonts w:ascii="Calibri" w:hAnsi="Calibri" w:cs="Calibri"/>
          <w:lang w:val="hr-HR"/>
        </w:rPr>
        <w:t>, pružajući pritom javnu potporu privatni</w:t>
      </w:r>
      <w:r>
        <w:rPr>
          <w:rFonts w:ascii="Calibri" w:hAnsi="Calibri" w:cs="Calibri"/>
          <w:lang w:val="hr-HR"/>
        </w:rPr>
        <w:t>m ulaganjima u rasponu različitih mogućih uvjet</w:t>
      </w:r>
      <w:r w:rsidRPr="00EA7FD9">
        <w:rPr>
          <w:rFonts w:ascii="Calibri" w:hAnsi="Calibri" w:cs="Calibri"/>
          <w:lang w:val="hr-HR"/>
        </w:rPr>
        <w:t xml:space="preserve">a, </w:t>
      </w:r>
      <w:r>
        <w:rPr>
          <w:rFonts w:ascii="Calibri" w:hAnsi="Calibri" w:cs="Calibri"/>
          <w:lang w:val="hr-HR"/>
        </w:rPr>
        <w:t>koji</w:t>
      </w:r>
      <w:r w:rsidRPr="00EA7FD9">
        <w:rPr>
          <w:rFonts w:ascii="Calibri" w:hAnsi="Calibri" w:cs="Calibri"/>
          <w:lang w:val="hr-HR"/>
        </w:rPr>
        <w:t xml:space="preserve"> su </w:t>
      </w:r>
      <w:r>
        <w:rPr>
          <w:rFonts w:ascii="Calibri" w:hAnsi="Calibri" w:cs="Calibri"/>
          <w:lang w:val="hr-HR"/>
        </w:rPr>
        <w:t xml:space="preserve">povoljniji od uobičajenih tržišnih </w:t>
      </w:r>
      <w:r w:rsidRPr="006F4187">
        <w:rPr>
          <w:rFonts w:ascii="Calibri" w:hAnsi="Calibri" w:cs="Calibri"/>
          <w:lang w:val="hr-HR"/>
        </w:rPr>
        <w:t>uvjeta.</w:t>
      </w:r>
      <w:r w:rsidRPr="00EA7FD9">
        <w:rPr>
          <w:rFonts w:ascii="Calibri" w:hAnsi="Calibri" w:cs="Calibri"/>
          <w:lang w:val="hr-HR"/>
        </w:rPr>
        <w:t xml:space="preserve"> JESSICA stoga služi za dodjelu državnih potpora privatnim </w:t>
      </w:r>
      <w:r>
        <w:rPr>
          <w:rFonts w:ascii="Calibri" w:hAnsi="Calibri" w:cs="Calibri"/>
          <w:lang w:val="hr-HR"/>
        </w:rPr>
        <w:t>subjektim</w:t>
      </w:r>
      <w:r w:rsidRPr="00EA7FD9">
        <w:rPr>
          <w:rFonts w:ascii="Calibri" w:hAnsi="Calibri" w:cs="Calibri"/>
          <w:lang w:val="hr-HR"/>
        </w:rPr>
        <w:t xml:space="preserve">a uključenim u projekte urbanog razvoja. </w:t>
      </w:r>
      <w:r w:rsidRPr="006F4187">
        <w:rPr>
          <w:rFonts w:ascii="Calibri" w:hAnsi="Calibri" w:cs="Calibri"/>
          <w:lang w:val="hr-HR"/>
        </w:rPr>
        <w:t xml:space="preserve">Kao i kod svih državnih potpora, dodjela je moguća pod uvjetom poštivanja ograničenja koja nalažu propisi Politike tržišnog natjecanja EU-a za različite sektore i geografska područja ili obavještavanja Komisije te dobivanja i njezinog odobrenja.  </w:t>
      </w:r>
    </w:p>
    <w:p w14:paraId="46548735" w14:textId="77777777" w:rsidR="00132E7D" w:rsidRPr="00EA7FD9" w:rsidRDefault="00132E7D" w:rsidP="00F030D3">
      <w:pPr>
        <w:spacing w:before="40" w:after="40" w:line="300" w:lineRule="auto"/>
        <w:rPr>
          <w:rFonts w:ascii="Calibri" w:hAnsi="Calibri" w:cs="Calibri"/>
          <w:lang w:val="hr-HR"/>
        </w:rPr>
      </w:pPr>
      <w:r>
        <w:rPr>
          <w:rFonts w:ascii="Calibri" w:hAnsi="Calibri" w:cs="Calibri"/>
          <w:lang w:val="hr-HR"/>
        </w:rPr>
        <w:lastRenderedPageBreak/>
        <w:t>Međutim, dok</w:t>
      </w:r>
      <w:r w:rsidRPr="00EA7FD9">
        <w:rPr>
          <w:rFonts w:ascii="Calibri" w:hAnsi="Calibri" w:cs="Calibri"/>
          <w:lang w:val="hr-HR"/>
        </w:rPr>
        <w:t xml:space="preserve"> </w:t>
      </w:r>
      <w:r>
        <w:rPr>
          <w:rFonts w:ascii="Calibri" w:hAnsi="Calibri" w:cs="Calibri"/>
          <w:lang w:val="hr-HR"/>
        </w:rPr>
        <w:t xml:space="preserve">su pravila Okvira </w:t>
      </w:r>
      <w:r w:rsidRPr="00EA7FD9">
        <w:rPr>
          <w:rFonts w:ascii="Calibri" w:hAnsi="Calibri" w:cs="Calibri"/>
          <w:lang w:val="hr-HR"/>
        </w:rPr>
        <w:t>EU</w:t>
      </w:r>
      <w:r>
        <w:rPr>
          <w:rFonts w:ascii="Calibri" w:hAnsi="Calibri" w:cs="Calibri"/>
          <w:lang w:val="hr-HR"/>
        </w:rPr>
        <w:t>-a za državne potpore</w:t>
      </w:r>
      <w:r w:rsidRPr="00EA7FD9">
        <w:rPr>
          <w:rFonts w:ascii="Calibri" w:hAnsi="Calibri" w:cs="Calibri"/>
          <w:lang w:val="hr-HR"/>
        </w:rPr>
        <w:t xml:space="preserve"> </w:t>
      </w:r>
      <w:r>
        <w:rPr>
          <w:rFonts w:ascii="Calibri" w:hAnsi="Calibri" w:cs="Calibri"/>
          <w:lang w:val="hr-HR"/>
        </w:rPr>
        <w:t>relativno jasna</w:t>
      </w:r>
      <w:r w:rsidRPr="00EA7FD9">
        <w:rPr>
          <w:rFonts w:ascii="Calibri" w:hAnsi="Calibri" w:cs="Calibri"/>
          <w:lang w:val="hr-HR"/>
        </w:rPr>
        <w:t xml:space="preserve"> i predvidiv</w:t>
      </w:r>
      <w:r>
        <w:rPr>
          <w:rFonts w:ascii="Calibri" w:hAnsi="Calibri" w:cs="Calibri"/>
          <w:lang w:val="hr-HR"/>
        </w:rPr>
        <w:t>a</w:t>
      </w:r>
      <w:r w:rsidRPr="00EA7FD9">
        <w:rPr>
          <w:rFonts w:ascii="Calibri" w:hAnsi="Calibri" w:cs="Calibri"/>
          <w:lang w:val="hr-HR"/>
        </w:rPr>
        <w:t xml:space="preserve"> za ulaganja u mala i srednja poduzeća, za koja su specijalizirane druge vrste financijskih instrumenata, </w:t>
      </w:r>
      <w:r>
        <w:rPr>
          <w:rFonts w:ascii="Calibri" w:hAnsi="Calibri" w:cs="Calibri"/>
          <w:lang w:val="hr-HR"/>
        </w:rPr>
        <w:t>pravila su</w:t>
      </w:r>
      <w:r w:rsidRPr="00EA7FD9">
        <w:rPr>
          <w:rFonts w:ascii="Calibri" w:hAnsi="Calibri" w:cs="Calibri"/>
          <w:lang w:val="hr-HR"/>
        </w:rPr>
        <w:t xml:space="preserve"> manje jasna kod instrumenata </w:t>
      </w:r>
      <w:r>
        <w:rPr>
          <w:rFonts w:ascii="Calibri" w:hAnsi="Calibri" w:cs="Calibri"/>
          <w:lang w:val="hr-HR"/>
        </w:rPr>
        <w:t>poput</w:t>
      </w:r>
      <w:r w:rsidRPr="00EA7FD9">
        <w:rPr>
          <w:rFonts w:ascii="Calibri" w:hAnsi="Calibri" w:cs="Calibri"/>
          <w:lang w:val="hr-HR"/>
        </w:rPr>
        <w:t xml:space="preserve"> JESSICA</w:t>
      </w:r>
      <w:r>
        <w:rPr>
          <w:rFonts w:ascii="Calibri" w:hAnsi="Calibri" w:cs="Calibri"/>
          <w:lang w:val="hr-HR"/>
        </w:rPr>
        <w:t>-e</w:t>
      </w:r>
      <w:r w:rsidRPr="00EA7FD9">
        <w:rPr>
          <w:rFonts w:ascii="Calibri" w:hAnsi="Calibri" w:cs="Calibri"/>
          <w:lang w:val="hr-HR"/>
        </w:rPr>
        <w:t>. Zbog širokog raspona područja ulaganja koje JESSICA može</w:t>
      </w:r>
      <w:r>
        <w:rPr>
          <w:rFonts w:ascii="Calibri" w:hAnsi="Calibri" w:cs="Calibri"/>
          <w:lang w:val="hr-HR"/>
        </w:rPr>
        <w:t xml:space="preserve"> obuhvaćati</w:t>
      </w:r>
      <w:r w:rsidRPr="00EA7FD9">
        <w:rPr>
          <w:rFonts w:ascii="Calibri" w:hAnsi="Calibri" w:cs="Calibri"/>
          <w:lang w:val="hr-HR"/>
        </w:rPr>
        <w:t xml:space="preserve"> u kontekstu urbanog razvoja, </w:t>
      </w:r>
      <w:r>
        <w:rPr>
          <w:rFonts w:ascii="Calibri" w:hAnsi="Calibri" w:cs="Calibri"/>
          <w:lang w:val="hr-HR"/>
        </w:rPr>
        <w:t>fondovi za urbani razvoj</w:t>
      </w:r>
      <w:r w:rsidRPr="00EA7FD9">
        <w:rPr>
          <w:rFonts w:ascii="Calibri" w:hAnsi="Calibri" w:cs="Calibri"/>
          <w:lang w:val="hr-HR"/>
        </w:rPr>
        <w:t xml:space="preserve"> možda </w:t>
      </w:r>
      <w:r>
        <w:rPr>
          <w:rFonts w:ascii="Calibri" w:hAnsi="Calibri" w:cs="Calibri"/>
          <w:lang w:val="hr-HR"/>
        </w:rPr>
        <w:t xml:space="preserve">će </w:t>
      </w:r>
      <w:r w:rsidRPr="00EA7FD9">
        <w:rPr>
          <w:rFonts w:ascii="Calibri" w:hAnsi="Calibri" w:cs="Calibri"/>
          <w:lang w:val="hr-HR"/>
        </w:rPr>
        <w:t xml:space="preserve">morati </w:t>
      </w:r>
      <w:r w:rsidRPr="006F4187">
        <w:rPr>
          <w:rFonts w:ascii="Calibri" w:hAnsi="Calibri" w:cs="Calibri"/>
          <w:lang w:val="hr-HR"/>
        </w:rPr>
        <w:t>pojedinačno razmotriti pravila o državnim potporama, primjerice</w:t>
      </w:r>
      <w:r>
        <w:rPr>
          <w:rFonts w:ascii="Calibri" w:hAnsi="Calibri" w:cs="Calibri"/>
          <w:lang w:val="hr-HR"/>
        </w:rPr>
        <w:t>,</w:t>
      </w:r>
      <w:r w:rsidRPr="006F4187">
        <w:rPr>
          <w:rFonts w:ascii="Calibri" w:hAnsi="Calibri" w:cs="Calibri"/>
          <w:lang w:val="hr-HR"/>
        </w:rPr>
        <w:t xml:space="preserve"> za regionalne potpore, potpore za</w:t>
      </w:r>
      <w:r>
        <w:rPr>
          <w:rFonts w:ascii="Calibri" w:hAnsi="Calibri" w:cs="Calibri"/>
          <w:lang w:val="hr-HR"/>
        </w:rPr>
        <w:t xml:space="preserve"> kulturu i kulturno-povijesnu baštinu</w:t>
      </w:r>
      <w:r w:rsidRPr="00EA7FD9">
        <w:rPr>
          <w:rFonts w:ascii="Calibri" w:hAnsi="Calibri" w:cs="Calibri"/>
          <w:lang w:val="hr-HR"/>
        </w:rPr>
        <w:t xml:space="preserve">, </w:t>
      </w:r>
      <w:r>
        <w:rPr>
          <w:rFonts w:ascii="Calibri" w:hAnsi="Calibri" w:cs="Calibri"/>
          <w:lang w:val="hr-HR"/>
        </w:rPr>
        <w:t>osposobljavanje</w:t>
      </w:r>
      <w:r w:rsidRPr="00EA7FD9">
        <w:rPr>
          <w:rFonts w:ascii="Calibri" w:hAnsi="Calibri" w:cs="Calibri"/>
          <w:lang w:val="hr-HR"/>
        </w:rPr>
        <w:t xml:space="preserve">, </w:t>
      </w:r>
      <w:r>
        <w:rPr>
          <w:rFonts w:ascii="Calibri" w:hAnsi="Calibri" w:cs="Calibri"/>
          <w:lang w:val="hr-HR"/>
        </w:rPr>
        <w:t>mala i srednja poduzeća i</w:t>
      </w:r>
      <w:r w:rsidRPr="00EA7FD9">
        <w:rPr>
          <w:rFonts w:ascii="Calibri" w:hAnsi="Calibri" w:cs="Calibri"/>
          <w:lang w:val="hr-HR"/>
        </w:rPr>
        <w:t xml:space="preserve"> zaštitu okoliša. </w:t>
      </w:r>
      <w:r>
        <w:rPr>
          <w:rFonts w:ascii="Calibri" w:hAnsi="Calibri" w:cs="Calibri"/>
          <w:lang w:val="hr-HR"/>
        </w:rPr>
        <w:t xml:space="preserve">Zbog navedenog, </w:t>
      </w:r>
      <w:r w:rsidRPr="00EA7FD9">
        <w:rPr>
          <w:rFonts w:ascii="Calibri" w:hAnsi="Calibri" w:cs="Calibri"/>
          <w:lang w:val="hr-HR"/>
        </w:rPr>
        <w:t>usklađenost državnih potpora posebno</w:t>
      </w:r>
      <w:r>
        <w:rPr>
          <w:rFonts w:ascii="Calibri" w:hAnsi="Calibri" w:cs="Calibri"/>
          <w:lang w:val="hr-HR"/>
        </w:rPr>
        <w:t xml:space="preserve"> je složeno područje</w:t>
      </w:r>
      <w:r w:rsidRPr="00EA7FD9">
        <w:rPr>
          <w:rFonts w:ascii="Calibri" w:hAnsi="Calibri" w:cs="Calibri"/>
          <w:lang w:val="hr-HR"/>
        </w:rPr>
        <w:t xml:space="preserve"> za JESSICA</w:t>
      </w:r>
      <w:r>
        <w:rPr>
          <w:rFonts w:ascii="Calibri" w:hAnsi="Calibri" w:cs="Calibri"/>
          <w:lang w:val="hr-HR"/>
        </w:rPr>
        <w:t>-u</w:t>
      </w:r>
      <w:r w:rsidRPr="00EA7FD9">
        <w:rPr>
          <w:rFonts w:ascii="Calibri" w:hAnsi="Calibri" w:cs="Calibri"/>
          <w:lang w:val="hr-HR"/>
        </w:rPr>
        <w:t xml:space="preserve"> te dovodi do dugotrajnih odgađanja (</w:t>
      </w:r>
      <w:r>
        <w:rPr>
          <w:rFonts w:ascii="Calibri" w:hAnsi="Calibri" w:cs="Calibri"/>
          <w:lang w:val="hr-HR"/>
        </w:rPr>
        <w:t>primjerice, više od dvije</w:t>
      </w:r>
      <w:r w:rsidRPr="00EA7FD9">
        <w:rPr>
          <w:rFonts w:ascii="Calibri" w:hAnsi="Calibri" w:cs="Calibri"/>
          <w:lang w:val="hr-HR"/>
        </w:rPr>
        <w:t xml:space="preserve"> godine)</w:t>
      </w:r>
      <w:r>
        <w:rPr>
          <w:rFonts w:ascii="Calibri" w:hAnsi="Calibri" w:cs="Calibri"/>
          <w:lang w:val="hr-HR"/>
        </w:rPr>
        <w:t>,</w:t>
      </w:r>
      <w:r w:rsidRPr="00EA7FD9">
        <w:rPr>
          <w:rFonts w:ascii="Calibri" w:hAnsi="Calibri" w:cs="Calibri"/>
          <w:lang w:val="hr-HR"/>
        </w:rPr>
        <w:t xml:space="preserve"> </w:t>
      </w:r>
      <w:r>
        <w:rPr>
          <w:rFonts w:ascii="Calibri" w:hAnsi="Calibri" w:cs="Calibri"/>
          <w:lang w:val="hr-HR"/>
        </w:rPr>
        <w:t>u uspostavi</w:t>
      </w:r>
      <w:r w:rsidRPr="00EA7FD9">
        <w:rPr>
          <w:rFonts w:ascii="Calibri" w:hAnsi="Calibri" w:cs="Calibri"/>
          <w:lang w:val="hr-HR"/>
        </w:rPr>
        <w:t xml:space="preserve"> instrumenata </w:t>
      </w:r>
      <w:r>
        <w:rPr>
          <w:rFonts w:ascii="Calibri" w:hAnsi="Calibri" w:cs="Calibri"/>
          <w:lang w:val="hr-HR"/>
        </w:rPr>
        <w:t>poput</w:t>
      </w:r>
      <w:r w:rsidRPr="00EA7FD9">
        <w:rPr>
          <w:rFonts w:ascii="Calibri" w:hAnsi="Calibri" w:cs="Calibri"/>
          <w:lang w:val="hr-HR"/>
        </w:rPr>
        <w:t xml:space="preserve"> JESSICA</w:t>
      </w:r>
      <w:r>
        <w:rPr>
          <w:rFonts w:ascii="Calibri" w:hAnsi="Calibri" w:cs="Calibri"/>
          <w:lang w:val="hr-HR"/>
        </w:rPr>
        <w:t>-e</w:t>
      </w:r>
      <w:r w:rsidRPr="00EA7FD9">
        <w:rPr>
          <w:rFonts w:ascii="Calibri" w:hAnsi="Calibri" w:cs="Calibri"/>
          <w:lang w:val="hr-HR"/>
        </w:rPr>
        <w:t xml:space="preserve"> u mnogim državama članicama.</w:t>
      </w:r>
    </w:p>
    <w:p w14:paraId="33D3CFF3" w14:textId="77777777" w:rsidR="00132E7D" w:rsidRPr="00EA7FD9" w:rsidRDefault="00132E7D" w:rsidP="00F030D3">
      <w:pPr>
        <w:spacing w:before="40" w:after="40" w:line="300" w:lineRule="auto"/>
        <w:rPr>
          <w:rFonts w:ascii="Calibri" w:hAnsi="Calibri" w:cs="Calibri"/>
          <w:lang w:val="hr-HR"/>
        </w:rPr>
      </w:pPr>
      <w:r w:rsidRPr="00EA7FD9">
        <w:rPr>
          <w:rFonts w:ascii="Calibri" w:hAnsi="Calibri" w:cs="Calibri"/>
          <w:lang w:val="hr-HR"/>
        </w:rPr>
        <w:t xml:space="preserve">Studija financijskih instrumenata koju je 2011. godine provelo </w:t>
      </w:r>
      <w:r>
        <w:rPr>
          <w:rFonts w:ascii="Calibri" w:hAnsi="Calibri" w:cs="Calibri"/>
          <w:lang w:val="hr-HR"/>
        </w:rPr>
        <w:t xml:space="preserve">Sveučilište </w:t>
      </w:r>
      <w:r w:rsidRPr="00EA7FD9">
        <w:rPr>
          <w:rFonts w:ascii="Calibri" w:hAnsi="Calibri" w:cs="Calibri"/>
          <w:lang w:val="hr-HR"/>
        </w:rPr>
        <w:t>Strathclyde</w:t>
      </w:r>
      <w:r w:rsidRPr="00EA7FD9">
        <w:rPr>
          <w:rStyle w:val="FootnoteReference"/>
          <w:rFonts w:ascii="Calibri" w:hAnsi="Calibri" w:cs="Calibri"/>
          <w:i/>
          <w:iCs/>
          <w:lang w:val="hr-HR"/>
        </w:rPr>
        <w:footnoteReference w:id="2"/>
      </w:r>
      <w:r w:rsidRPr="00EA7FD9">
        <w:rPr>
          <w:rFonts w:ascii="Calibri" w:hAnsi="Calibri" w:cs="Calibri"/>
          <w:b/>
          <w:bCs/>
          <w:lang w:val="hr-HR"/>
        </w:rPr>
        <w:t xml:space="preserve"> </w:t>
      </w:r>
      <w:r w:rsidRPr="00EA7FD9">
        <w:rPr>
          <w:rFonts w:ascii="Calibri" w:hAnsi="Calibri" w:cs="Calibri"/>
          <w:lang w:val="hr-HR"/>
        </w:rPr>
        <w:t xml:space="preserve">utvrđuje tri glavna moguća načina </w:t>
      </w:r>
      <w:r>
        <w:rPr>
          <w:rFonts w:ascii="Calibri" w:hAnsi="Calibri" w:cs="Calibri"/>
          <w:lang w:val="hr-HR"/>
        </w:rPr>
        <w:t>rješavanja pitanja usklađenosti državnih potpora za</w:t>
      </w:r>
      <w:r w:rsidRPr="00EA7FD9">
        <w:rPr>
          <w:rFonts w:ascii="Calibri" w:hAnsi="Calibri" w:cs="Calibri"/>
          <w:lang w:val="hr-HR"/>
        </w:rPr>
        <w:t xml:space="preserve"> </w:t>
      </w:r>
      <w:r>
        <w:rPr>
          <w:rFonts w:ascii="Calibri" w:hAnsi="Calibri" w:cs="Calibri"/>
          <w:lang w:val="hr-HR"/>
        </w:rPr>
        <w:t>financijske instrumente</w:t>
      </w:r>
      <w:r w:rsidRPr="00EA7FD9">
        <w:rPr>
          <w:rFonts w:ascii="Calibri" w:hAnsi="Calibri" w:cs="Calibri"/>
          <w:lang w:val="hr-HR"/>
        </w:rPr>
        <w:t>, kao što je ukratko izneseno u donjoj tablici.</w:t>
      </w:r>
    </w:p>
    <w:p w14:paraId="5FDD72FE" w14:textId="77777777" w:rsidR="00132E7D" w:rsidRPr="00EA7FD9" w:rsidRDefault="00132E7D" w:rsidP="00F030D3">
      <w:pPr>
        <w:spacing w:before="40" w:after="40" w:line="300" w:lineRule="auto"/>
        <w:rPr>
          <w:rFonts w:ascii="Calibri" w:hAnsi="Calibri" w:cs="Calibri"/>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tblGrid>
      <w:tr w:rsidR="00132E7D" w:rsidRPr="00CF2B98" w14:paraId="46242C3D" w14:textId="77777777">
        <w:trPr>
          <w:jc w:val="center"/>
        </w:trPr>
        <w:tc>
          <w:tcPr>
            <w:tcW w:w="7088" w:type="dxa"/>
          </w:tcPr>
          <w:p w14:paraId="4D9172AF" w14:textId="77777777" w:rsidR="00132E7D" w:rsidRPr="00EA7FD9" w:rsidRDefault="00132E7D" w:rsidP="00F030D3">
            <w:pPr>
              <w:spacing w:before="40" w:after="40" w:line="300" w:lineRule="auto"/>
              <w:jc w:val="center"/>
              <w:rPr>
                <w:rFonts w:ascii="Calibri" w:hAnsi="Calibri" w:cs="Calibri"/>
                <w:b/>
                <w:bCs/>
                <w:sz w:val="20"/>
                <w:szCs w:val="20"/>
                <w:lang w:val="hr-HR"/>
              </w:rPr>
            </w:pPr>
            <w:r w:rsidRPr="00EA7FD9">
              <w:rPr>
                <w:rFonts w:ascii="Calibri" w:hAnsi="Calibri" w:cs="Calibri"/>
                <w:b/>
                <w:bCs/>
                <w:sz w:val="20"/>
                <w:szCs w:val="20"/>
                <w:lang w:val="hr-HR"/>
              </w:rPr>
              <w:t>Financi</w:t>
            </w:r>
            <w:r>
              <w:rPr>
                <w:rFonts w:ascii="Calibri" w:hAnsi="Calibri" w:cs="Calibri"/>
                <w:b/>
                <w:bCs/>
                <w:sz w:val="20"/>
                <w:szCs w:val="20"/>
                <w:lang w:val="hr-HR"/>
              </w:rPr>
              <w:t>jski instrumenti</w:t>
            </w:r>
            <w:r w:rsidRPr="00EA7FD9">
              <w:rPr>
                <w:rFonts w:ascii="Calibri" w:hAnsi="Calibri" w:cs="Calibri"/>
                <w:b/>
                <w:bCs/>
                <w:sz w:val="20"/>
                <w:szCs w:val="20"/>
                <w:lang w:val="hr-HR"/>
              </w:rPr>
              <w:t xml:space="preserve"> </w:t>
            </w:r>
            <w:r w:rsidRPr="00EA7FD9">
              <w:rPr>
                <w:rFonts w:ascii="Calibri" w:hAnsi="Calibri" w:cs="Calibri"/>
                <w:b/>
                <w:bCs/>
                <w:sz w:val="20"/>
                <w:szCs w:val="20"/>
                <w:lang w:val="hr-HR"/>
              </w:rPr>
              <w:br/>
              <w:t>Op</w:t>
            </w:r>
            <w:r>
              <w:rPr>
                <w:rFonts w:ascii="Calibri" w:hAnsi="Calibri" w:cs="Calibri"/>
                <w:b/>
                <w:bCs/>
                <w:sz w:val="20"/>
                <w:szCs w:val="20"/>
                <w:lang w:val="hr-HR"/>
              </w:rPr>
              <w:t>cije za usklađenost državnih potpora</w:t>
            </w:r>
            <w:r w:rsidRPr="00EA7FD9">
              <w:rPr>
                <w:rFonts w:ascii="Calibri" w:hAnsi="Calibri" w:cs="Calibri"/>
                <w:b/>
                <w:bCs/>
                <w:sz w:val="20"/>
                <w:szCs w:val="20"/>
                <w:lang w:val="hr-HR"/>
              </w:rPr>
              <w:br/>
            </w:r>
            <w:r w:rsidRPr="00EA7FD9">
              <w:rPr>
                <w:rFonts w:ascii="Calibri" w:hAnsi="Calibri" w:cs="Calibri"/>
                <w:b/>
                <w:bCs/>
                <w:sz w:val="16"/>
                <w:szCs w:val="16"/>
                <w:lang w:val="hr-HR"/>
              </w:rPr>
              <w:t xml:space="preserve">Izvor </w:t>
            </w:r>
            <w:r>
              <w:rPr>
                <w:rFonts w:ascii="Calibri" w:hAnsi="Calibri" w:cs="Calibri"/>
                <w:b/>
                <w:bCs/>
                <w:sz w:val="16"/>
                <w:szCs w:val="16"/>
                <w:lang w:val="hr-HR"/>
              </w:rPr>
              <w:t>–</w:t>
            </w:r>
            <w:r w:rsidRPr="00EA7FD9">
              <w:rPr>
                <w:rFonts w:ascii="Calibri" w:hAnsi="Calibri" w:cs="Calibri"/>
                <w:b/>
                <w:bCs/>
                <w:sz w:val="16"/>
                <w:szCs w:val="16"/>
                <w:lang w:val="hr-HR"/>
              </w:rPr>
              <w:t xml:space="preserve"> </w:t>
            </w:r>
            <w:r>
              <w:rPr>
                <w:rFonts w:ascii="Calibri" w:hAnsi="Calibri" w:cs="Calibri"/>
                <w:b/>
                <w:bCs/>
                <w:sz w:val="16"/>
                <w:szCs w:val="16"/>
                <w:lang w:val="hr-HR"/>
              </w:rPr>
              <w:t>Centar za istraživanje europskih politika pri Sveučilištu</w:t>
            </w:r>
            <w:r w:rsidRPr="00EA7FD9">
              <w:rPr>
                <w:rFonts w:ascii="Calibri" w:hAnsi="Calibri" w:cs="Calibri"/>
                <w:b/>
                <w:bCs/>
                <w:sz w:val="16"/>
                <w:szCs w:val="16"/>
                <w:lang w:val="hr-HR"/>
              </w:rPr>
              <w:t xml:space="preserve"> Strathclyde</w:t>
            </w:r>
            <w:r>
              <w:rPr>
                <w:rFonts w:ascii="Calibri" w:hAnsi="Calibri" w:cs="Calibri"/>
                <w:b/>
                <w:bCs/>
                <w:sz w:val="16"/>
                <w:szCs w:val="16"/>
                <w:lang w:val="hr-HR"/>
              </w:rPr>
              <w:t>,</w:t>
            </w:r>
            <w:r w:rsidRPr="00EA7FD9">
              <w:rPr>
                <w:rFonts w:ascii="Calibri" w:hAnsi="Calibri" w:cs="Calibri"/>
                <w:b/>
                <w:bCs/>
                <w:sz w:val="16"/>
                <w:szCs w:val="16"/>
                <w:lang w:val="hr-HR"/>
              </w:rPr>
              <w:t xml:space="preserve"> 2011</w:t>
            </w:r>
            <w:r>
              <w:rPr>
                <w:rFonts w:ascii="Calibri" w:hAnsi="Calibri" w:cs="Calibri"/>
                <w:b/>
                <w:bCs/>
                <w:sz w:val="16"/>
                <w:szCs w:val="16"/>
                <w:lang w:val="hr-HR"/>
              </w:rPr>
              <w:t>.</w:t>
            </w:r>
          </w:p>
          <w:p w14:paraId="5FE97971" w14:textId="77777777" w:rsidR="00132E7D" w:rsidRPr="00EA7FD9" w:rsidRDefault="00132E7D" w:rsidP="00F030D3">
            <w:pPr>
              <w:spacing w:before="40" w:after="40" w:line="300" w:lineRule="auto"/>
              <w:jc w:val="left"/>
              <w:rPr>
                <w:rFonts w:ascii="Calibri" w:hAnsi="Calibri" w:cs="Calibri"/>
                <w:b/>
                <w:bCs/>
                <w:sz w:val="20"/>
                <w:szCs w:val="20"/>
                <w:lang w:val="hr-HR"/>
              </w:rPr>
            </w:pPr>
          </w:p>
          <w:p w14:paraId="1AE4C409" w14:textId="6B1C1A28" w:rsidR="00132E7D" w:rsidRPr="00EA7FD9" w:rsidRDefault="00132E7D" w:rsidP="00F030D3">
            <w:pPr>
              <w:numPr>
                <w:ilvl w:val="0"/>
                <w:numId w:val="11"/>
              </w:numPr>
              <w:tabs>
                <w:tab w:val="num" w:pos="720"/>
              </w:tabs>
              <w:spacing w:before="40" w:after="40" w:line="300" w:lineRule="auto"/>
              <w:rPr>
                <w:rFonts w:ascii="Calibri" w:hAnsi="Calibri" w:cs="Calibri"/>
                <w:sz w:val="20"/>
                <w:szCs w:val="20"/>
                <w:lang w:val="hr-HR"/>
              </w:rPr>
            </w:pPr>
            <w:r>
              <w:rPr>
                <w:rFonts w:ascii="Calibri" w:hAnsi="Calibri" w:cs="Calibri"/>
                <w:sz w:val="20"/>
                <w:szCs w:val="20"/>
                <w:lang w:val="hr-HR"/>
              </w:rPr>
              <w:t xml:space="preserve">Izrada mjera </w:t>
            </w:r>
            <w:r>
              <w:rPr>
                <w:rFonts w:ascii="Calibri" w:hAnsi="Calibri" w:cs="Calibri"/>
                <w:b/>
                <w:bCs/>
                <w:sz w:val="20"/>
                <w:szCs w:val="20"/>
                <w:lang w:val="hr-HR"/>
              </w:rPr>
              <w:t>bez elemenata državnih potpora (potpore male vrijednosti)</w:t>
            </w:r>
            <w:r>
              <w:rPr>
                <w:rFonts w:ascii="Calibri" w:hAnsi="Calibri" w:cs="Calibri"/>
                <w:sz w:val="20"/>
                <w:szCs w:val="20"/>
                <w:lang w:val="hr-HR"/>
              </w:rPr>
              <w:t xml:space="preserve"> </w:t>
            </w:r>
          </w:p>
          <w:p w14:paraId="55415AE5" w14:textId="77777777" w:rsidR="00132E7D" w:rsidRPr="00EA7FD9" w:rsidRDefault="00132E7D" w:rsidP="00F030D3">
            <w:pPr>
              <w:spacing w:before="40" w:after="40" w:line="300" w:lineRule="auto"/>
              <w:ind w:left="360"/>
              <w:rPr>
                <w:rFonts w:ascii="Calibri" w:hAnsi="Calibri" w:cs="Calibri"/>
                <w:i/>
                <w:iCs/>
                <w:sz w:val="20"/>
                <w:szCs w:val="20"/>
                <w:lang w:val="hr-HR"/>
              </w:rPr>
            </w:pPr>
            <w:r>
              <w:rPr>
                <w:rFonts w:ascii="Calibri" w:hAnsi="Calibri" w:cs="Calibri"/>
                <w:i/>
                <w:iCs/>
                <w:sz w:val="20"/>
                <w:szCs w:val="20"/>
                <w:lang w:val="hr-HR"/>
              </w:rPr>
              <w:t>Ne zahtijevaju prethodno odobrenje</w:t>
            </w:r>
            <w:r w:rsidRPr="00EA7FD9">
              <w:rPr>
                <w:rFonts w:ascii="Calibri" w:hAnsi="Calibri" w:cs="Calibri"/>
                <w:i/>
                <w:iCs/>
                <w:sz w:val="20"/>
                <w:szCs w:val="20"/>
                <w:lang w:val="hr-HR"/>
              </w:rPr>
              <w:t xml:space="preserve">, </w:t>
            </w:r>
            <w:r>
              <w:rPr>
                <w:rFonts w:ascii="Calibri" w:hAnsi="Calibri" w:cs="Calibri"/>
                <w:i/>
                <w:iCs/>
                <w:sz w:val="20"/>
                <w:szCs w:val="20"/>
                <w:lang w:val="hr-HR"/>
              </w:rPr>
              <w:t>već se temelje na povjerenju</w:t>
            </w:r>
            <w:r w:rsidRPr="00EA7FD9">
              <w:rPr>
                <w:rFonts w:ascii="Calibri" w:hAnsi="Calibri" w:cs="Calibri"/>
                <w:i/>
                <w:iCs/>
                <w:sz w:val="20"/>
                <w:szCs w:val="20"/>
                <w:lang w:val="hr-HR"/>
              </w:rPr>
              <w:t xml:space="preserve"> </w:t>
            </w:r>
            <w:r>
              <w:rPr>
                <w:rFonts w:ascii="Calibri" w:hAnsi="Calibri" w:cs="Calibri"/>
                <w:i/>
                <w:iCs/>
                <w:sz w:val="20"/>
                <w:szCs w:val="20"/>
                <w:lang w:val="hr-HR"/>
              </w:rPr>
              <w:t>–</w:t>
            </w:r>
            <w:r w:rsidRPr="00EA7FD9">
              <w:rPr>
                <w:rFonts w:ascii="Calibri" w:hAnsi="Calibri" w:cs="Calibri"/>
                <w:i/>
                <w:iCs/>
                <w:sz w:val="20"/>
                <w:szCs w:val="20"/>
                <w:lang w:val="hr-HR"/>
              </w:rPr>
              <w:t xml:space="preserve"> </w:t>
            </w:r>
            <w:r>
              <w:rPr>
                <w:rFonts w:ascii="Calibri" w:hAnsi="Calibri" w:cs="Calibri"/>
                <w:i/>
                <w:iCs/>
                <w:sz w:val="20"/>
                <w:szCs w:val="20"/>
                <w:lang w:val="hr-HR"/>
              </w:rPr>
              <w:t>neobavještavanje o potpori veće vrijednosti rezultira ozbiljnim posljedicama.</w:t>
            </w:r>
            <w:r w:rsidRPr="00EA7FD9">
              <w:rPr>
                <w:rFonts w:ascii="Calibri" w:hAnsi="Calibri" w:cs="Calibri"/>
                <w:i/>
                <w:iCs/>
                <w:sz w:val="20"/>
                <w:szCs w:val="20"/>
                <w:lang w:val="hr-HR"/>
              </w:rPr>
              <w:t xml:space="preserve"> </w:t>
            </w:r>
          </w:p>
          <w:p w14:paraId="4748E3EC" w14:textId="77777777" w:rsidR="00132E7D" w:rsidRPr="00EA7FD9" w:rsidRDefault="00132E7D" w:rsidP="00F030D3">
            <w:pPr>
              <w:spacing w:before="40" w:after="40" w:line="300" w:lineRule="auto"/>
              <w:ind w:left="360"/>
              <w:rPr>
                <w:rFonts w:ascii="Calibri" w:hAnsi="Calibri" w:cs="Calibri"/>
                <w:sz w:val="20"/>
                <w:szCs w:val="20"/>
                <w:lang w:val="hr-HR"/>
              </w:rPr>
            </w:pPr>
          </w:p>
          <w:p w14:paraId="525CC1AE" w14:textId="77777777" w:rsidR="00132E7D" w:rsidRPr="00EA7FD9" w:rsidRDefault="00132E7D" w:rsidP="00F030D3">
            <w:pPr>
              <w:numPr>
                <w:ilvl w:val="0"/>
                <w:numId w:val="12"/>
              </w:numPr>
              <w:tabs>
                <w:tab w:val="num" w:pos="720"/>
              </w:tabs>
              <w:spacing w:before="40" w:after="40" w:line="300" w:lineRule="auto"/>
              <w:rPr>
                <w:rFonts w:ascii="Calibri" w:hAnsi="Calibri" w:cs="Calibri"/>
                <w:sz w:val="20"/>
                <w:szCs w:val="20"/>
                <w:lang w:val="hr-HR"/>
              </w:rPr>
            </w:pPr>
            <w:r>
              <w:rPr>
                <w:rFonts w:ascii="Calibri" w:hAnsi="Calibri" w:cs="Calibri"/>
                <w:sz w:val="20"/>
                <w:szCs w:val="20"/>
                <w:lang w:val="hr-HR"/>
              </w:rPr>
              <w:t xml:space="preserve">Izrada mjera </w:t>
            </w:r>
            <w:r>
              <w:rPr>
                <w:rFonts w:ascii="Calibri" w:hAnsi="Calibri" w:cs="Calibri"/>
                <w:b/>
                <w:bCs/>
                <w:i/>
                <w:iCs/>
                <w:sz w:val="20"/>
                <w:szCs w:val="20"/>
                <w:lang w:val="hr-HR"/>
              </w:rPr>
              <w:t>usklađenih s</w:t>
            </w:r>
            <w:r w:rsidRPr="00EA7FD9">
              <w:rPr>
                <w:rFonts w:ascii="Calibri" w:hAnsi="Calibri" w:cs="Calibri"/>
                <w:b/>
                <w:bCs/>
                <w:i/>
                <w:iCs/>
                <w:sz w:val="20"/>
                <w:szCs w:val="20"/>
                <w:lang w:val="hr-HR"/>
              </w:rPr>
              <w:t xml:space="preserve"> </w:t>
            </w:r>
            <w:r>
              <w:rPr>
                <w:rFonts w:ascii="Calibri" w:hAnsi="Calibri" w:cs="Calibri"/>
                <w:b/>
                <w:bCs/>
                <w:i/>
                <w:iCs/>
                <w:sz w:val="20"/>
                <w:szCs w:val="20"/>
                <w:lang w:val="hr-HR"/>
              </w:rPr>
              <w:t>Općom uredbom o skupnom izuzeću</w:t>
            </w:r>
            <w:r w:rsidRPr="00EA7FD9">
              <w:rPr>
                <w:rFonts w:ascii="Calibri" w:hAnsi="Calibri" w:cs="Calibri"/>
                <w:sz w:val="20"/>
                <w:szCs w:val="20"/>
                <w:lang w:val="hr-HR"/>
              </w:rPr>
              <w:t xml:space="preserve"> </w:t>
            </w:r>
          </w:p>
          <w:p w14:paraId="4B7F0E19" w14:textId="30246798" w:rsidR="00132E7D" w:rsidRPr="00EA7FD9" w:rsidRDefault="00132E7D" w:rsidP="00F030D3">
            <w:pPr>
              <w:spacing w:before="40" w:after="40" w:line="300" w:lineRule="auto"/>
              <w:ind w:left="360"/>
              <w:rPr>
                <w:rFonts w:ascii="Calibri" w:hAnsi="Calibri" w:cs="Calibri"/>
                <w:i/>
                <w:iCs/>
                <w:sz w:val="20"/>
                <w:szCs w:val="20"/>
                <w:lang w:val="hr-HR"/>
              </w:rPr>
            </w:pPr>
            <w:r>
              <w:rPr>
                <w:rFonts w:ascii="Calibri" w:hAnsi="Calibri" w:cs="Calibri"/>
                <w:i/>
                <w:iCs/>
                <w:sz w:val="20"/>
                <w:szCs w:val="20"/>
                <w:lang w:val="hr-HR"/>
              </w:rPr>
              <w:t>Ne zahtijevaju prethodno odobrenje</w:t>
            </w:r>
            <w:r w:rsidRPr="00EA7FD9">
              <w:rPr>
                <w:rFonts w:ascii="Calibri" w:hAnsi="Calibri" w:cs="Calibri"/>
                <w:i/>
                <w:iCs/>
                <w:sz w:val="20"/>
                <w:szCs w:val="20"/>
                <w:lang w:val="hr-HR"/>
              </w:rPr>
              <w:t xml:space="preserve">, </w:t>
            </w:r>
            <w:r>
              <w:rPr>
                <w:rFonts w:ascii="Calibri" w:hAnsi="Calibri" w:cs="Calibri"/>
                <w:i/>
                <w:iCs/>
                <w:sz w:val="20"/>
                <w:szCs w:val="20"/>
                <w:lang w:val="hr-HR"/>
              </w:rPr>
              <w:t>ali Uredba nalaže oblik, iznos i fokus mjera te može biti suviše nefleksibilna za ispunjenje ciljeva.</w:t>
            </w:r>
          </w:p>
          <w:p w14:paraId="644C9F69" w14:textId="77777777" w:rsidR="00132E7D" w:rsidRPr="00EA7FD9" w:rsidRDefault="00132E7D" w:rsidP="00F030D3">
            <w:pPr>
              <w:spacing w:before="40" w:after="40" w:line="300" w:lineRule="auto"/>
              <w:ind w:left="360"/>
              <w:rPr>
                <w:rFonts w:ascii="Calibri" w:hAnsi="Calibri" w:cs="Calibri"/>
                <w:sz w:val="20"/>
                <w:szCs w:val="20"/>
                <w:lang w:val="hr-HR"/>
              </w:rPr>
            </w:pPr>
            <w:r w:rsidRPr="00EA7FD9">
              <w:rPr>
                <w:rFonts w:ascii="Calibri" w:hAnsi="Calibri" w:cs="Calibri"/>
                <w:i/>
                <w:iCs/>
                <w:sz w:val="20"/>
                <w:szCs w:val="20"/>
                <w:lang w:val="hr-HR"/>
              </w:rPr>
              <w:t xml:space="preserve"> </w:t>
            </w:r>
          </w:p>
          <w:p w14:paraId="6A8C602D" w14:textId="77777777" w:rsidR="00132E7D" w:rsidRPr="00EA7FD9" w:rsidRDefault="00132E7D" w:rsidP="00F030D3">
            <w:pPr>
              <w:numPr>
                <w:ilvl w:val="0"/>
                <w:numId w:val="13"/>
              </w:numPr>
              <w:tabs>
                <w:tab w:val="num" w:pos="720"/>
              </w:tabs>
              <w:spacing w:before="40" w:after="40" w:line="300" w:lineRule="auto"/>
              <w:rPr>
                <w:rFonts w:ascii="Calibri" w:hAnsi="Calibri" w:cs="Calibri"/>
                <w:sz w:val="20"/>
                <w:szCs w:val="20"/>
                <w:lang w:val="hr-HR"/>
              </w:rPr>
            </w:pPr>
            <w:r>
              <w:rPr>
                <w:rFonts w:ascii="Calibri" w:hAnsi="Calibri" w:cs="Calibri"/>
                <w:sz w:val="20"/>
                <w:szCs w:val="20"/>
                <w:lang w:val="hr-HR"/>
              </w:rPr>
              <w:t>Opcija</w:t>
            </w:r>
            <w:r w:rsidRPr="00EA7FD9">
              <w:rPr>
                <w:rFonts w:ascii="Calibri" w:hAnsi="Calibri" w:cs="Calibri"/>
                <w:sz w:val="20"/>
                <w:szCs w:val="20"/>
                <w:lang w:val="hr-HR"/>
              </w:rPr>
              <w:t xml:space="preserve"> </w:t>
            </w:r>
            <w:r>
              <w:rPr>
                <w:rFonts w:ascii="Calibri" w:hAnsi="Calibri" w:cs="Calibri"/>
                <w:b/>
                <w:bCs/>
                <w:i/>
                <w:iCs/>
                <w:sz w:val="20"/>
                <w:szCs w:val="20"/>
                <w:lang w:val="hr-HR"/>
              </w:rPr>
              <w:t>obavještavanja Europske komisije o uvjetima</w:t>
            </w:r>
            <w:r w:rsidRPr="00EA7FD9">
              <w:rPr>
                <w:rFonts w:ascii="Calibri" w:hAnsi="Calibri" w:cs="Calibri"/>
                <w:b/>
                <w:bCs/>
                <w:i/>
                <w:iCs/>
                <w:sz w:val="20"/>
                <w:szCs w:val="20"/>
                <w:lang w:val="hr-HR"/>
              </w:rPr>
              <w:t xml:space="preserve"> </w:t>
            </w:r>
            <w:r>
              <w:rPr>
                <w:rFonts w:ascii="Calibri" w:hAnsi="Calibri" w:cs="Calibri"/>
                <w:b/>
                <w:bCs/>
                <w:i/>
                <w:iCs/>
                <w:sz w:val="20"/>
                <w:szCs w:val="20"/>
                <w:lang w:val="hr-HR"/>
              </w:rPr>
              <w:t>financijskog instrumenta</w:t>
            </w:r>
            <w:r w:rsidRPr="00EA7FD9">
              <w:rPr>
                <w:rFonts w:ascii="Calibri" w:hAnsi="Calibri" w:cs="Calibri"/>
                <w:b/>
                <w:bCs/>
                <w:i/>
                <w:iCs/>
                <w:sz w:val="20"/>
                <w:szCs w:val="20"/>
                <w:lang w:val="hr-HR"/>
              </w:rPr>
              <w:t xml:space="preserve"> </w:t>
            </w:r>
          </w:p>
          <w:p w14:paraId="265280CE" w14:textId="77777777" w:rsidR="00132E7D" w:rsidRPr="00EA7FD9" w:rsidRDefault="00132E7D" w:rsidP="00F030D3">
            <w:pPr>
              <w:spacing w:before="40" w:after="40" w:line="300" w:lineRule="auto"/>
              <w:ind w:left="357"/>
              <w:rPr>
                <w:rFonts w:ascii="Calibri" w:hAnsi="Calibri" w:cs="Calibri"/>
                <w:sz w:val="20"/>
                <w:szCs w:val="20"/>
                <w:lang w:val="hr-HR"/>
              </w:rPr>
            </w:pPr>
            <w:r>
              <w:rPr>
                <w:rFonts w:ascii="Calibri" w:hAnsi="Calibri" w:cs="Calibri"/>
                <w:i/>
                <w:iCs/>
                <w:sz w:val="20"/>
                <w:szCs w:val="20"/>
                <w:lang w:val="hr-HR"/>
              </w:rPr>
              <w:t>Prije provedbe je potrebno ishoditi odobrenje, što često dovodi do dugotrajnih odgoda i neizvjesnog ishoda.</w:t>
            </w:r>
            <w:r w:rsidRPr="00EA7FD9">
              <w:rPr>
                <w:rFonts w:ascii="Calibri" w:hAnsi="Calibri" w:cs="Calibri"/>
                <w:i/>
                <w:iCs/>
                <w:sz w:val="20"/>
                <w:szCs w:val="20"/>
                <w:lang w:val="hr-HR"/>
              </w:rPr>
              <w:t xml:space="preserve"> </w:t>
            </w:r>
          </w:p>
        </w:tc>
      </w:tr>
    </w:tbl>
    <w:p w14:paraId="74C1EBFC" w14:textId="77777777" w:rsidR="00132E7D" w:rsidRPr="00EA7FD9" w:rsidRDefault="00132E7D" w:rsidP="00F030D3">
      <w:pPr>
        <w:spacing w:before="40" w:after="40" w:line="300" w:lineRule="auto"/>
        <w:rPr>
          <w:rFonts w:ascii="Calibri" w:hAnsi="Calibri" w:cs="Calibri"/>
          <w:lang w:val="hr-HR"/>
        </w:rPr>
      </w:pPr>
    </w:p>
    <w:p w14:paraId="4E871BDB" w14:textId="77777777" w:rsidR="00132E7D" w:rsidRPr="00EA7FD9" w:rsidRDefault="00132E7D" w:rsidP="00F030D3">
      <w:pPr>
        <w:spacing w:before="40" w:after="40" w:line="300" w:lineRule="auto"/>
        <w:rPr>
          <w:rFonts w:ascii="Calibri" w:hAnsi="Calibri" w:cs="Calibri"/>
          <w:lang w:val="hr-HR"/>
        </w:rPr>
      </w:pPr>
      <w:r>
        <w:rPr>
          <w:rFonts w:ascii="Calibri" w:hAnsi="Calibri" w:cs="Calibri"/>
          <w:lang w:val="hr-HR"/>
        </w:rPr>
        <w:t xml:space="preserve">Uspostava </w:t>
      </w:r>
      <w:r w:rsidRPr="00EA7FD9">
        <w:rPr>
          <w:rFonts w:ascii="Calibri" w:hAnsi="Calibri" w:cs="Calibri"/>
          <w:lang w:val="hr-HR"/>
        </w:rPr>
        <w:t xml:space="preserve">financijskog instrumenta koji ne sadrži niti jedan element </w:t>
      </w:r>
      <w:r>
        <w:rPr>
          <w:rFonts w:ascii="Calibri" w:hAnsi="Calibri" w:cs="Calibri"/>
          <w:lang w:val="hr-HR"/>
        </w:rPr>
        <w:t>potpore</w:t>
      </w:r>
      <w:r w:rsidRPr="00EA7FD9">
        <w:rPr>
          <w:rFonts w:ascii="Calibri" w:hAnsi="Calibri" w:cs="Calibri"/>
          <w:lang w:val="hr-HR"/>
        </w:rPr>
        <w:t xml:space="preserve"> može se doimati naj</w:t>
      </w:r>
      <w:r>
        <w:rPr>
          <w:rFonts w:ascii="Calibri" w:hAnsi="Calibri" w:cs="Calibri"/>
          <w:lang w:val="hr-HR"/>
        </w:rPr>
        <w:t>jednostavnijom opcijom, međutim,</w:t>
      </w:r>
      <w:r w:rsidRPr="00EA7FD9">
        <w:rPr>
          <w:rFonts w:ascii="Calibri" w:hAnsi="Calibri" w:cs="Calibri"/>
          <w:lang w:val="hr-HR"/>
        </w:rPr>
        <w:t xml:space="preserve"> postoji velika vjerojatnost </w:t>
      </w:r>
      <w:r w:rsidRPr="005D17C4">
        <w:rPr>
          <w:rFonts w:ascii="Calibri" w:hAnsi="Calibri" w:cs="Calibri"/>
          <w:lang w:val="hr-HR"/>
        </w:rPr>
        <w:t>da će rezultat biti instrument čiji se kapacitet za rješavanje tržišnog neuspjeha ne bi razlikovao od kapaciteta postoje</w:t>
      </w:r>
      <w:r>
        <w:rPr>
          <w:rFonts w:ascii="Calibri" w:hAnsi="Calibri" w:cs="Calibri"/>
          <w:lang w:val="hr-HR"/>
        </w:rPr>
        <w:t>ćih</w:t>
      </w:r>
      <w:r w:rsidRPr="005D17C4">
        <w:rPr>
          <w:rFonts w:ascii="Calibri" w:hAnsi="Calibri" w:cs="Calibri"/>
          <w:lang w:val="hr-HR"/>
        </w:rPr>
        <w:t xml:space="preserve"> subjek</w:t>
      </w:r>
      <w:r>
        <w:rPr>
          <w:rFonts w:ascii="Calibri" w:hAnsi="Calibri" w:cs="Calibri"/>
          <w:lang w:val="hr-HR"/>
        </w:rPr>
        <w:t>ata</w:t>
      </w:r>
      <w:r w:rsidRPr="005D17C4">
        <w:rPr>
          <w:rFonts w:ascii="Calibri" w:hAnsi="Calibri" w:cs="Calibri"/>
          <w:lang w:val="hr-HR"/>
        </w:rPr>
        <w:t xml:space="preserve"> iz financijskog sektora. Usklađenost s Općom uredbom o skupnom izuzeću</w:t>
      </w:r>
      <w:r w:rsidRPr="00EA7FD9">
        <w:rPr>
          <w:rFonts w:ascii="Calibri" w:hAnsi="Calibri" w:cs="Calibri"/>
          <w:lang w:val="hr-HR"/>
        </w:rPr>
        <w:t xml:space="preserve"> </w:t>
      </w:r>
      <w:r>
        <w:rPr>
          <w:rFonts w:ascii="Calibri" w:hAnsi="Calibri" w:cs="Calibri"/>
          <w:lang w:val="hr-HR"/>
        </w:rPr>
        <w:t>vezano uz državne potpore</w:t>
      </w:r>
      <w:r w:rsidRPr="00EA7FD9">
        <w:rPr>
          <w:rFonts w:ascii="Calibri" w:hAnsi="Calibri" w:cs="Calibri"/>
          <w:lang w:val="hr-HR"/>
        </w:rPr>
        <w:t xml:space="preserve"> </w:t>
      </w:r>
      <w:r>
        <w:rPr>
          <w:rFonts w:ascii="Calibri" w:hAnsi="Calibri" w:cs="Calibri"/>
          <w:lang w:val="hr-HR"/>
        </w:rPr>
        <w:t>pruža</w:t>
      </w:r>
      <w:r w:rsidRPr="00EA7FD9">
        <w:rPr>
          <w:rFonts w:ascii="Calibri" w:hAnsi="Calibri" w:cs="Calibri"/>
          <w:lang w:val="hr-HR"/>
        </w:rPr>
        <w:t xml:space="preserve"> </w:t>
      </w:r>
      <w:r>
        <w:rPr>
          <w:rFonts w:ascii="Calibri" w:hAnsi="Calibri" w:cs="Calibri"/>
          <w:lang w:val="hr-HR"/>
        </w:rPr>
        <w:t>definirani</w:t>
      </w:r>
      <w:r w:rsidRPr="00EA7FD9">
        <w:rPr>
          <w:rFonts w:ascii="Calibri" w:hAnsi="Calibri" w:cs="Calibri"/>
          <w:lang w:val="hr-HR"/>
        </w:rPr>
        <w:t xml:space="preserve"> okvir koji </w:t>
      </w:r>
      <w:r>
        <w:rPr>
          <w:rFonts w:ascii="Calibri" w:hAnsi="Calibri" w:cs="Calibri"/>
          <w:lang w:val="hr-HR"/>
        </w:rPr>
        <w:t xml:space="preserve">ne uključuje obavještavanje </w:t>
      </w:r>
      <w:r w:rsidRPr="00EA7FD9">
        <w:rPr>
          <w:rFonts w:ascii="Calibri" w:hAnsi="Calibri" w:cs="Calibri"/>
          <w:lang w:val="hr-HR"/>
        </w:rPr>
        <w:t xml:space="preserve">Komisije, ali, kao što je </w:t>
      </w:r>
      <w:r>
        <w:rPr>
          <w:rFonts w:ascii="Calibri" w:hAnsi="Calibri" w:cs="Calibri"/>
          <w:lang w:val="hr-HR"/>
        </w:rPr>
        <w:t>gore</w:t>
      </w:r>
      <w:r w:rsidRPr="00EA7FD9">
        <w:rPr>
          <w:rFonts w:ascii="Calibri" w:hAnsi="Calibri" w:cs="Calibri"/>
          <w:lang w:val="hr-HR"/>
        </w:rPr>
        <w:t xml:space="preserve"> istaknuto, </w:t>
      </w:r>
      <w:r>
        <w:rPr>
          <w:rFonts w:ascii="Calibri" w:hAnsi="Calibri" w:cs="Calibri"/>
          <w:lang w:val="hr-HR"/>
        </w:rPr>
        <w:t xml:space="preserve">u slučaju JESSICA-e </w:t>
      </w:r>
      <w:r w:rsidRPr="00EA7FD9">
        <w:rPr>
          <w:rFonts w:ascii="Calibri" w:hAnsi="Calibri" w:cs="Calibri"/>
          <w:lang w:val="hr-HR"/>
        </w:rPr>
        <w:t>to može biti vrlo složeno.</w:t>
      </w:r>
      <w:r>
        <w:rPr>
          <w:rFonts w:ascii="Calibri" w:hAnsi="Calibri" w:cs="Calibri"/>
          <w:lang w:val="hr-HR"/>
        </w:rPr>
        <w:t xml:space="preserve"> Obavještavanje Komisije o određenoj potpori predviđenoj u okviru financijskog instrumenta </w:t>
      </w:r>
      <w:r w:rsidRPr="00EA7FD9">
        <w:rPr>
          <w:rFonts w:ascii="Calibri" w:hAnsi="Calibri" w:cs="Calibri"/>
          <w:lang w:val="hr-HR"/>
        </w:rPr>
        <w:t>može bi</w:t>
      </w:r>
      <w:r>
        <w:rPr>
          <w:rFonts w:ascii="Calibri" w:hAnsi="Calibri" w:cs="Calibri"/>
          <w:lang w:val="hr-HR"/>
        </w:rPr>
        <w:t>ti dugotrajan proces</w:t>
      </w:r>
      <w:r w:rsidRPr="00EA7FD9">
        <w:rPr>
          <w:rFonts w:ascii="Calibri" w:hAnsi="Calibri" w:cs="Calibri"/>
          <w:lang w:val="hr-HR"/>
        </w:rPr>
        <w:t>, bez jamstva da će potpora biti odobrena.</w:t>
      </w:r>
    </w:p>
    <w:p w14:paraId="30447D65" w14:textId="77777777" w:rsidR="00132E7D" w:rsidRPr="00EA7FD9" w:rsidRDefault="00132E7D" w:rsidP="00F030D3">
      <w:pPr>
        <w:spacing w:before="40" w:after="40" w:line="300" w:lineRule="auto"/>
        <w:rPr>
          <w:rFonts w:ascii="Calibri" w:hAnsi="Calibri" w:cs="Calibri"/>
          <w:lang w:val="hr-HR"/>
        </w:rPr>
      </w:pPr>
      <w:r>
        <w:rPr>
          <w:rFonts w:ascii="Calibri" w:hAnsi="Calibri" w:cs="Calibri"/>
          <w:lang w:val="hr-HR"/>
        </w:rPr>
        <w:lastRenderedPageBreak/>
        <w:t>U r</w:t>
      </w:r>
      <w:r w:rsidRPr="00EA7FD9">
        <w:rPr>
          <w:rFonts w:ascii="Calibri" w:hAnsi="Calibri" w:cs="Calibri"/>
          <w:lang w:val="hr-HR"/>
        </w:rPr>
        <w:t>azdoblj</w:t>
      </w:r>
      <w:r>
        <w:rPr>
          <w:rFonts w:ascii="Calibri" w:hAnsi="Calibri" w:cs="Calibri"/>
          <w:lang w:val="hr-HR"/>
        </w:rPr>
        <w:t>u</w:t>
      </w:r>
      <w:r w:rsidRPr="00EA7FD9">
        <w:rPr>
          <w:rFonts w:ascii="Calibri" w:hAnsi="Calibri" w:cs="Calibri"/>
          <w:lang w:val="hr-HR"/>
        </w:rPr>
        <w:t xml:space="preserve"> 2014.-2020.</w:t>
      </w:r>
      <w:r>
        <w:rPr>
          <w:rFonts w:ascii="Calibri" w:hAnsi="Calibri" w:cs="Calibri"/>
          <w:lang w:val="hr-HR"/>
        </w:rPr>
        <w:t xml:space="preserve"> moguć je određeni napredak u dosadašnjoj, ne osobito ohrabrujućoj, situaciji vezanoj uz državne potpore </w:t>
      </w:r>
      <w:r w:rsidRPr="0011691F">
        <w:rPr>
          <w:rFonts w:ascii="Calibri" w:hAnsi="Calibri" w:cs="Calibri"/>
          <w:lang w:val="hr-HR"/>
        </w:rPr>
        <w:t>u kontekstu JESSICA-e</w:t>
      </w:r>
      <w:r>
        <w:rPr>
          <w:rFonts w:ascii="Calibri" w:hAnsi="Calibri" w:cs="Calibri"/>
          <w:lang w:val="hr-HR"/>
        </w:rPr>
        <w:t xml:space="preserve">. </w:t>
      </w:r>
      <w:r w:rsidRPr="0011691F">
        <w:rPr>
          <w:rFonts w:ascii="Calibri" w:hAnsi="Calibri" w:cs="Calibri"/>
          <w:lang w:val="hr-HR"/>
        </w:rPr>
        <w:t>Kao</w:t>
      </w:r>
      <w:r w:rsidRPr="00EA7FD9">
        <w:rPr>
          <w:rFonts w:ascii="Calibri" w:hAnsi="Calibri" w:cs="Calibri"/>
          <w:lang w:val="hr-HR"/>
        </w:rPr>
        <w:t xml:space="preserve"> prvo, unutar okvira modernizacije državnih potpora</w:t>
      </w:r>
      <w:r>
        <w:rPr>
          <w:rFonts w:ascii="Calibri" w:hAnsi="Calibri" w:cs="Calibri"/>
          <w:lang w:val="hr-HR"/>
        </w:rPr>
        <w:t xml:space="preserve"> revidirat će se Opća uredba o skupnom izuzeću u svrhu osiguravanja</w:t>
      </w:r>
      <w:r w:rsidRPr="00EA7FD9">
        <w:rPr>
          <w:rFonts w:ascii="Calibri" w:hAnsi="Calibri" w:cs="Calibri"/>
          <w:lang w:val="hr-HR"/>
        </w:rPr>
        <w:t xml:space="preserve"> uvjet</w:t>
      </w:r>
      <w:r>
        <w:rPr>
          <w:rFonts w:ascii="Calibri" w:hAnsi="Calibri" w:cs="Calibri"/>
          <w:lang w:val="hr-HR"/>
        </w:rPr>
        <w:t>a</w:t>
      </w:r>
      <w:r w:rsidRPr="00EA7FD9">
        <w:rPr>
          <w:rFonts w:ascii="Calibri" w:hAnsi="Calibri" w:cs="Calibri"/>
          <w:lang w:val="hr-HR"/>
        </w:rPr>
        <w:t xml:space="preserve"> za održivi urbani razvoj</w:t>
      </w:r>
      <w:r>
        <w:rPr>
          <w:rFonts w:ascii="Calibri" w:hAnsi="Calibri" w:cs="Calibri"/>
          <w:lang w:val="hr-HR"/>
        </w:rPr>
        <w:t xml:space="preserve"> koji su bolje prilagođeni korisniku</w:t>
      </w:r>
      <w:r w:rsidRPr="00EA7FD9">
        <w:rPr>
          <w:rFonts w:ascii="Calibri" w:hAnsi="Calibri" w:cs="Calibri"/>
          <w:lang w:val="hr-HR"/>
        </w:rPr>
        <w:t xml:space="preserve">. </w:t>
      </w:r>
      <w:r>
        <w:rPr>
          <w:rFonts w:ascii="Calibri" w:hAnsi="Calibri" w:cs="Calibri"/>
          <w:lang w:val="hr-HR"/>
        </w:rPr>
        <w:t>Uz to</w:t>
      </w:r>
      <w:r w:rsidRPr="00EA7FD9">
        <w:rPr>
          <w:rFonts w:ascii="Calibri" w:hAnsi="Calibri" w:cs="Calibri"/>
          <w:lang w:val="hr-HR"/>
        </w:rPr>
        <w:t xml:space="preserve">, potpore za očuvanje </w:t>
      </w:r>
      <w:r>
        <w:rPr>
          <w:rFonts w:ascii="Calibri" w:hAnsi="Calibri" w:cs="Calibri"/>
          <w:lang w:val="hr-HR"/>
        </w:rPr>
        <w:t xml:space="preserve">kulturno-povijesne baštine te potpore </w:t>
      </w:r>
      <w:r w:rsidRPr="00EA7FD9">
        <w:rPr>
          <w:rFonts w:ascii="Calibri" w:hAnsi="Calibri" w:cs="Calibri"/>
          <w:lang w:val="hr-HR"/>
        </w:rPr>
        <w:t xml:space="preserve">za višefunkcionalne </w:t>
      </w:r>
      <w:r>
        <w:rPr>
          <w:rFonts w:ascii="Calibri" w:hAnsi="Calibri" w:cs="Calibri"/>
          <w:lang w:val="hr-HR"/>
        </w:rPr>
        <w:t>sportsko-</w:t>
      </w:r>
      <w:r w:rsidRPr="00EA7FD9">
        <w:rPr>
          <w:rFonts w:ascii="Calibri" w:hAnsi="Calibri" w:cs="Calibri"/>
          <w:lang w:val="hr-HR"/>
        </w:rPr>
        <w:t xml:space="preserve">rekreativne objekte </w:t>
      </w:r>
      <w:r>
        <w:rPr>
          <w:rFonts w:ascii="Calibri" w:hAnsi="Calibri" w:cs="Calibri"/>
          <w:lang w:val="hr-HR"/>
        </w:rPr>
        <w:t>činit</w:t>
      </w:r>
      <w:r w:rsidRPr="00EA7FD9">
        <w:rPr>
          <w:rFonts w:ascii="Calibri" w:hAnsi="Calibri" w:cs="Calibri"/>
          <w:lang w:val="hr-HR"/>
        </w:rPr>
        <w:t xml:space="preserve"> će nove izuzete kategorije, dok će potpore za </w:t>
      </w:r>
      <w:r w:rsidRPr="005D21E9">
        <w:rPr>
          <w:rFonts w:ascii="Calibri" w:hAnsi="Calibri" w:cs="Calibri"/>
          <w:lang w:val="hr-HR"/>
        </w:rPr>
        <w:t>ulaganja u daljinsko grijanje (toplane)</w:t>
      </w:r>
      <w:r>
        <w:rPr>
          <w:rFonts w:ascii="Calibri" w:hAnsi="Calibri" w:cs="Calibri"/>
          <w:lang w:val="hr-HR"/>
        </w:rPr>
        <w:t>,</w:t>
      </w:r>
      <w:r w:rsidRPr="00EA7FD9">
        <w:rPr>
          <w:rFonts w:ascii="Calibri" w:hAnsi="Calibri" w:cs="Calibri"/>
          <w:lang w:val="hr-HR"/>
        </w:rPr>
        <w:t xml:space="preserve"> te za </w:t>
      </w:r>
      <w:r>
        <w:rPr>
          <w:rFonts w:ascii="Calibri" w:hAnsi="Calibri" w:cs="Calibri"/>
          <w:lang w:val="hr-HR"/>
        </w:rPr>
        <w:t>obnovu</w:t>
      </w:r>
      <w:r w:rsidRPr="00EA7FD9">
        <w:rPr>
          <w:rFonts w:ascii="Calibri" w:hAnsi="Calibri" w:cs="Calibri"/>
          <w:lang w:val="hr-HR"/>
        </w:rPr>
        <w:t xml:space="preserve"> </w:t>
      </w:r>
      <w:r>
        <w:rPr>
          <w:rFonts w:ascii="Calibri" w:hAnsi="Calibri" w:cs="Calibri"/>
          <w:lang w:val="hr-HR"/>
        </w:rPr>
        <w:t>zapuštenih</w:t>
      </w:r>
      <w:r w:rsidRPr="00EA7FD9">
        <w:rPr>
          <w:rFonts w:ascii="Calibri" w:hAnsi="Calibri" w:cs="Calibri"/>
          <w:lang w:val="hr-HR"/>
        </w:rPr>
        <w:t xml:space="preserve"> </w:t>
      </w:r>
      <w:r>
        <w:rPr>
          <w:rFonts w:ascii="Calibri" w:hAnsi="Calibri" w:cs="Calibri"/>
          <w:lang w:val="hr-HR"/>
        </w:rPr>
        <w:t xml:space="preserve">i kontaminiranih lokacija </w:t>
      </w:r>
      <w:r w:rsidRPr="005D21E9">
        <w:rPr>
          <w:rFonts w:ascii="Calibri" w:hAnsi="Calibri" w:cs="Calibri"/>
          <w:lang w:val="hr-HR"/>
        </w:rPr>
        <w:t>biti prihvatljive za izuzeće</w:t>
      </w:r>
      <w:r w:rsidRPr="005D21E9">
        <w:rPr>
          <w:rStyle w:val="FootnoteReference"/>
          <w:rFonts w:ascii="Calibri" w:hAnsi="Calibri" w:cs="Calibri"/>
          <w:lang w:val="hr-HR"/>
        </w:rPr>
        <w:footnoteReference w:id="3"/>
      </w:r>
      <w:r w:rsidRPr="005D21E9">
        <w:rPr>
          <w:rFonts w:ascii="Calibri" w:hAnsi="Calibri" w:cs="Calibri"/>
          <w:lang w:val="hr-HR"/>
        </w:rPr>
        <w:t>.</w:t>
      </w:r>
      <w:r w:rsidRPr="00EA7FD9">
        <w:rPr>
          <w:rFonts w:ascii="Calibri" w:hAnsi="Calibri" w:cs="Calibri"/>
          <w:lang w:val="hr-HR"/>
        </w:rPr>
        <w:t xml:space="preserve"> </w:t>
      </w:r>
    </w:p>
    <w:p w14:paraId="4E8B678E" w14:textId="77777777" w:rsidR="00132E7D" w:rsidRPr="00EA7FD9" w:rsidRDefault="00132E7D" w:rsidP="00F030D3">
      <w:pPr>
        <w:spacing w:before="40" w:after="40" w:line="300" w:lineRule="auto"/>
        <w:rPr>
          <w:rFonts w:ascii="Calibri" w:hAnsi="Calibri" w:cs="Calibri"/>
          <w:lang w:val="hr-HR"/>
        </w:rPr>
      </w:pPr>
      <w:r w:rsidRPr="00EA7FD9">
        <w:rPr>
          <w:rFonts w:ascii="Calibri" w:hAnsi="Calibri" w:cs="Calibri"/>
          <w:lang w:val="hr-HR"/>
        </w:rPr>
        <w:t>Nadalje, moguća je prekre</w:t>
      </w:r>
      <w:r>
        <w:rPr>
          <w:rFonts w:ascii="Calibri" w:hAnsi="Calibri" w:cs="Calibri"/>
          <w:lang w:val="hr-HR"/>
        </w:rPr>
        <w:t>t</w:t>
      </w:r>
      <w:r w:rsidRPr="00EA7FD9">
        <w:rPr>
          <w:rFonts w:ascii="Calibri" w:hAnsi="Calibri" w:cs="Calibri"/>
          <w:lang w:val="hr-HR"/>
        </w:rPr>
        <w:t xml:space="preserve">nica u načinu </w:t>
      </w:r>
      <w:r>
        <w:rPr>
          <w:rFonts w:ascii="Calibri" w:hAnsi="Calibri" w:cs="Calibri"/>
          <w:lang w:val="hr-HR"/>
        </w:rPr>
        <w:t>na koji će Komisija ocjenjivati potpore za instrumente poput</w:t>
      </w:r>
      <w:r w:rsidRPr="00EA7FD9">
        <w:rPr>
          <w:rFonts w:ascii="Calibri" w:hAnsi="Calibri" w:cs="Calibri"/>
          <w:lang w:val="hr-HR"/>
        </w:rPr>
        <w:t xml:space="preserve"> JESSICA</w:t>
      </w:r>
      <w:r>
        <w:rPr>
          <w:rFonts w:ascii="Calibri" w:hAnsi="Calibri" w:cs="Calibri"/>
          <w:lang w:val="hr-HR"/>
        </w:rPr>
        <w:t>-e o kojima je obaviještena</w:t>
      </w:r>
      <w:r w:rsidRPr="00EA7FD9">
        <w:rPr>
          <w:rFonts w:ascii="Calibri" w:hAnsi="Calibri" w:cs="Calibri"/>
          <w:lang w:val="hr-HR"/>
        </w:rPr>
        <w:t xml:space="preserve">. </w:t>
      </w:r>
      <w:r>
        <w:rPr>
          <w:rFonts w:ascii="Calibri" w:hAnsi="Calibri" w:cs="Calibri"/>
          <w:lang w:val="hr-HR"/>
        </w:rPr>
        <w:t>Navedeno t</w:t>
      </w:r>
      <w:r w:rsidRPr="00EA7FD9">
        <w:rPr>
          <w:rFonts w:ascii="Calibri" w:hAnsi="Calibri" w:cs="Calibri"/>
          <w:lang w:val="hr-HR"/>
        </w:rPr>
        <w:t xml:space="preserve">emeljimo na dva nedavna presedana - JESSICA UK North-West i JESSICA Andalucía. U nedostatku sveobuhvatnog okvira smjernica za državne potpore vezane uz urbani razvoj (za razliku od potpore za </w:t>
      </w:r>
      <w:r>
        <w:rPr>
          <w:rFonts w:ascii="Calibri" w:hAnsi="Calibri" w:cs="Calibri"/>
          <w:lang w:val="hr-HR"/>
        </w:rPr>
        <w:t>poduzeća</w:t>
      </w:r>
      <w:r w:rsidRPr="00EA7FD9">
        <w:rPr>
          <w:rFonts w:ascii="Calibri" w:hAnsi="Calibri" w:cs="Calibri"/>
          <w:lang w:val="hr-HR"/>
        </w:rPr>
        <w:t>)</w:t>
      </w:r>
      <w:r>
        <w:rPr>
          <w:rFonts w:ascii="Calibri" w:hAnsi="Calibri" w:cs="Calibri"/>
          <w:lang w:val="hr-HR"/>
        </w:rPr>
        <w:t>, prijedlozi su ocijenjeni</w:t>
      </w:r>
      <w:r w:rsidRPr="00EA7FD9">
        <w:rPr>
          <w:rFonts w:ascii="Calibri" w:hAnsi="Calibri" w:cs="Calibri"/>
          <w:lang w:val="hr-HR"/>
        </w:rPr>
        <w:t xml:space="preserve"> izravno prema odredbama </w:t>
      </w:r>
      <w:r>
        <w:rPr>
          <w:rFonts w:ascii="Calibri" w:hAnsi="Calibri" w:cs="Calibri"/>
          <w:lang w:val="hr-HR"/>
        </w:rPr>
        <w:t>Ugovora o funkcioniranju Europske unije</w:t>
      </w:r>
      <w:r w:rsidRPr="00EA7FD9">
        <w:rPr>
          <w:rFonts w:ascii="Calibri" w:hAnsi="Calibri" w:cs="Calibri"/>
          <w:lang w:val="hr-HR"/>
        </w:rPr>
        <w:t xml:space="preserve"> (čl. 107.(3.)). Komisija</w:t>
      </w:r>
      <w:r>
        <w:rPr>
          <w:rFonts w:ascii="Calibri" w:hAnsi="Calibri" w:cs="Calibri"/>
          <w:lang w:val="hr-HR"/>
        </w:rPr>
        <w:t xml:space="preserve"> je</w:t>
      </w:r>
      <w:r w:rsidRPr="00EA7FD9">
        <w:rPr>
          <w:rFonts w:ascii="Calibri" w:hAnsi="Calibri" w:cs="Calibri"/>
          <w:lang w:val="hr-HR"/>
        </w:rPr>
        <w:t xml:space="preserve"> </w:t>
      </w:r>
      <w:r>
        <w:rPr>
          <w:rFonts w:ascii="Calibri" w:hAnsi="Calibri" w:cs="Calibri"/>
          <w:lang w:val="hr-HR"/>
        </w:rPr>
        <w:t>procijenila</w:t>
      </w:r>
      <w:r w:rsidRPr="00EA7FD9">
        <w:rPr>
          <w:rFonts w:ascii="Calibri" w:hAnsi="Calibri" w:cs="Calibri"/>
          <w:lang w:val="hr-HR"/>
        </w:rPr>
        <w:t xml:space="preserve"> i odvagnula pozitivne i negativne učinke potpore u predloženim instrumentima JESSICA. Umjesto izračuna točnih iznosa predviđenih potpora, korišten je puno jednostavniji koncept </w:t>
      </w:r>
      <w:r>
        <w:rPr>
          <w:rFonts w:ascii="Calibri" w:hAnsi="Calibri" w:cs="Calibri"/>
          <w:lang w:val="hr-HR"/>
        </w:rPr>
        <w:t xml:space="preserve">takozvane </w:t>
      </w:r>
      <w:r w:rsidRPr="00EA7FD9">
        <w:rPr>
          <w:rFonts w:ascii="Calibri" w:hAnsi="Calibri" w:cs="Calibri"/>
          <w:lang w:val="hr-HR"/>
        </w:rPr>
        <w:t>‘</w:t>
      </w:r>
      <w:r>
        <w:rPr>
          <w:rFonts w:ascii="Calibri" w:hAnsi="Calibri" w:cs="Calibri"/>
          <w:lang w:val="hr-HR"/>
        </w:rPr>
        <w:t>pravedne</w:t>
      </w:r>
      <w:r w:rsidRPr="00EA7FD9">
        <w:rPr>
          <w:rFonts w:ascii="Calibri" w:hAnsi="Calibri" w:cs="Calibri"/>
          <w:lang w:val="hr-HR"/>
        </w:rPr>
        <w:t xml:space="preserve"> </w:t>
      </w:r>
      <w:r>
        <w:rPr>
          <w:rFonts w:ascii="Calibri" w:hAnsi="Calibri" w:cs="Calibri"/>
          <w:lang w:val="hr-HR"/>
        </w:rPr>
        <w:t>stope povrata</w:t>
      </w:r>
      <w:r w:rsidRPr="00EA7FD9">
        <w:rPr>
          <w:rFonts w:ascii="Calibri" w:hAnsi="Calibri" w:cs="Calibri"/>
          <w:lang w:val="hr-HR"/>
        </w:rPr>
        <w:t xml:space="preserve">’ u svrhu </w:t>
      </w:r>
      <w:r w:rsidRPr="005D21E9">
        <w:rPr>
          <w:rFonts w:ascii="Calibri" w:hAnsi="Calibri" w:cs="Calibri"/>
          <w:lang w:val="hr-HR"/>
        </w:rPr>
        <w:t>ograničavanja prednosti na suulagače.</w:t>
      </w:r>
    </w:p>
    <w:p w14:paraId="55108096" w14:textId="77777777" w:rsidR="00132E7D" w:rsidRPr="00EA7FD9" w:rsidRDefault="00132E7D" w:rsidP="00F030D3">
      <w:pPr>
        <w:spacing w:before="40" w:after="40" w:line="300" w:lineRule="auto"/>
        <w:rPr>
          <w:rFonts w:ascii="Calibri" w:hAnsi="Calibri" w:cs="Calibri"/>
          <w:lang w:val="hr-HR"/>
        </w:rPr>
      </w:pPr>
      <w:r w:rsidRPr="00EA7FD9">
        <w:rPr>
          <w:rFonts w:ascii="Calibri" w:hAnsi="Calibri" w:cs="Calibri"/>
          <w:lang w:val="hr-HR"/>
        </w:rPr>
        <w:t xml:space="preserve">Ulaganja u projekte urbanog razvoja nisu jedino područje kod kojeg mogu iskrsnuti neriješena pitanja vezana uz državne potpore </w:t>
      </w:r>
      <w:r w:rsidRPr="005D21E9">
        <w:rPr>
          <w:rFonts w:ascii="Calibri" w:hAnsi="Calibri" w:cs="Calibri"/>
          <w:lang w:val="hr-HR"/>
        </w:rPr>
        <w:t xml:space="preserve">kod instrumenata </w:t>
      </w:r>
      <w:r>
        <w:rPr>
          <w:rFonts w:ascii="Calibri" w:hAnsi="Calibri" w:cs="Calibri"/>
          <w:lang w:val="hr-HR"/>
        </w:rPr>
        <w:t>poput</w:t>
      </w:r>
      <w:r w:rsidRPr="005D21E9">
        <w:rPr>
          <w:rFonts w:ascii="Calibri" w:hAnsi="Calibri" w:cs="Calibri"/>
          <w:lang w:val="hr-HR"/>
        </w:rPr>
        <w:t xml:space="preserve"> JESSICA</w:t>
      </w:r>
      <w:r>
        <w:rPr>
          <w:rFonts w:ascii="Calibri" w:hAnsi="Calibri" w:cs="Calibri"/>
          <w:lang w:val="hr-HR"/>
        </w:rPr>
        <w:t>-e</w:t>
      </w:r>
      <w:r w:rsidRPr="005D21E9">
        <w:rPr>
          <w:rFonts w:ascii="Calibri" w:hAnsi="Calibri" w:cs="Calibri"/>
          <w:lang w:val="hr-HR"/>
        </w:rPr>
        <w:t>. Opća uprava za tržišno natjecanje Europske komisije također je utvrdila mogućnost potpore u sklopu samog fonda</w:t>
      </w:r>
      <w:r w:rsidRPr="00EA7FD9">
        <w:rPr>
          <w:rFonts w:ascii="Calibri" w:hAnsi="Calibri" w:cs="Calibri"/>
          <w:lang w:val="hr-HR"/>
        </w:rPr>
        <w:t xml:space="preserve"> u slučajevima kada privatni </w:t>
      </w:r>
      <w:r>
        <w:rPr>
          <w:rFonts w:ascii="Calibri" w:hAnsi="Calibri" w:cs="Calibri"/>
          <w:lang w:val="hr-HR"/>
        </w:rPr>
        <w:t xml:space="preserve">suulagači </w:t>
      </w:r>
      <w:r w:rsidRPr="00EA7FD9">
        <w:rPr>
          <w:rFonts w:ascii="Calibri" w:hAnsi="Calibri" w:cs="Calibri"/>
          <w:lang w:val="hr-HR"/>
        </w:rPr>
        <w:t xml:space="preserve">mogu dobiti povlašteni tretman u odnosu na </w:t>
      </w:r>
      <w:r>
        <w:rPr>
          <w:rFonts w:ascii="Calibri" w:hAnsi="Calibri" w:cs="Calibri"/>
          <w:lang w:val="hr-HR"/>
        </w:rPr>
        <w:t>one</w:t>
      </w:r>
      <w:r w:rsidRPr="00EA7FD9">
        <w:rPr>
          <w:rFonts w:ascii="Calibri" w:hAnsi="Calibri" w:cs="Calibri"/>
          <w:lang w:val="hr-HR"/>
        </w:rPr>
        <w:t xml:space="preserve"> iz javnog sektora. </w:t>
      </w:r>
      <w:r>
        <w:rPr>
          <w:rFonts w:ascii="Calibri" w:hAnsi="Calibri" w:cs="Calibri"/>
          <w:lang w:val="hr-HR"/>
        </w:rPr>
        <w:t xml:space="preserve">Isplata naknada </w:t>
      </w:r>
      <w:r w:rsidRPr="00EA7FD9">
        <w:rPr>
          <w:rFonts w:ascii="Calibri" w:hAnsi="Calibri" w:cs="Calibri"/>
          <w:lang w:val="hr-HR"/>
        </w:rPr>
        <w:t xml:space="preserve">upraviteljima </w:t>
      </w:r>
      <w:r w:rsidRPr="005D21E9">
        <w:rPr>
          <w:rFonts w:ascii="Calibri" w:hAnsi="Calibri" w:cs="Calibri"/>
          <w:lang w:val="hr-HR"/>
        </w:rPr>
        <w:t>fondova iznad tržišn</w:t>
      </w:r>
      <w:r>
        <w:rPr>
          <w:rFonts w:ascii="Calibri" w:hAnsi="Calibri" w:cs="Calibri"/>
          <w:lang w:val="hr-HR"/>
        </w:rPr>
        <w:t>o utvrđenih</w:t>
      </w:r>
      <w:r w:rsidRPr="00EA7FD9">
        <w:rPr>
          <w:rFonts w:ascii="Calibri" w:hAnsi="Calibri" w:cs="Calibri"/>
          <w:lang w:val="hr-HR"/>
        </w:rPr>
        <w:t xml:space="preserve"> </w:t>
      </w:r>
      <w:r>
        <w:rPr>
          <w:rFonts w:ascii="Calibri" w:hAnsi="Calibri" w:cs="Calibri"/>
          <w:lang w:val="hr-HR"/>
        </w:rPr>
        <w:t>vrijednosti</w:t>
      </w:r>
      <w:r w:rsidRPr="00EA7FD9">
        <w:rPr>
          <w:rFonts w:ascii="Calibri" w:hAnsi="Calibri" w:cs="Calibri"/>
          <w:lang w:val="hr-HR"/>
        </w:rPr>
        <w:t xml:space="preserve"> </w:t>
      </w:r>
      <w:r>
        <w:rPr>
          <w:rFonts w:ascii="Calibri" w:hAnsi="Calibri" w:cs="Calibri"/>
          <w:lang w:val="hr-HR"/>
        </w:rPr>
        <w:t>predstavlja</w:t>
      </w:r>
      <w:r w:rsidRPr="00EA7FD9">
        <w:rPr>
          <w:rFonts w:ascii="Calibri" w:hAnsi="Calibri" w:cs="Calibri"/>
          <w:lang w:val="hr-HR"/>
        </w:rPr>
        <w:t xml:space="preserve"> još jedan mogući izvor potpore. Općenito, prvo se pitanje rješava osiguravanjem </w:t>
      </w:r>
      <w:r w:rsidRPr="00EA7FD9">
        <w:rPr>
          <w:rFonts w:ascii="Calibri" w:hAnsi="Calibri" w:cs="Calibri"/>
          <w:i/>
          <w:iCs/>
          <w:lang w:val="hr-HR"/>
        </w:rPr>
        <w:t>pari passu</w:t>
      </w:r>
      <w:r w:rsidRPr="00EA7FD9">
        <w:rPr>
          <w:rFonts w:ascii="Calibri" w:hAnsi="Calibri" w:cs="Calibri"/>
          <w:lang w:val="hr-HR"/>
        </w:rPr>
        <w:t xml:space="preserve"> </w:t>
      </w:r>
      <w:r>
        <w:rPr>
          <w:rFonts w:ascii="Calibri" w:hAnsi="Calibri" w:cs="Calibri"/>
          <w:lang w:val="hr-HR"/>
        </w:rPr>
        <w:t xml:space="preserve">(jednakih), </w:t>
      </w:r>
      <w:r w:rsidRPr="00EA7FD9">
        <w:rPr>
          <w:rFonts w:ascii="Calibri" w:hAnsi="Calibri" w:cs="Calibri"/>
          <w:lang w:val="hr-HR"/>
        </w:rPr>
        <w:t xml:space="preserve">uvjeta u </w:t>
      </w:r>
      <w:r w:rsidRPr="005D21E9">
        <w:rPr>
          <w:rFonts w:ascii="Calibri" w:hAnsi="Calibri" w:cs="Calibri"/>
          <w:lang w:val="hr-HR"/>
        </w:rPr>
        <w:t>dioničkim fondovima,</w:t>
      </w:r>
      <w:r>
        <w:rPr>
          <w:rFonts w:ascii="Calibri" w:hAnsi="Calibri" w:cs="Calibri"/>
          <w:lang w:val="hr-HR"/>
        </w:rPr>
        <w:t xml:space="preserve"> kod kojih</w:t>
      </w:r>
      <w:r w:rsidRPr="00EA7FD9">
        <w:rPr>
          <w:rFonts w:ascii="Calibri" w:hAnsi="Calibri" w:cs="Calibri"/>
          <w:lang w:val="hr-HR"/>
        </w:rPr>
        <w:t xml:space="preserve"> partneri iz privatnog i javnog sektora moraju </w:t>
      </w:r>
      <w:r>
        <w:rPr>
          <w:rFonts w:ascii="Calibri" w:hAnsi="Calibri" w:cs="Calibri"/>
          <w:lang w:val="hr-HR"/>
        </w:rPr>
        <w:t>uživati jednake koristi koje proistječu iz</w:t>
      </w:r>
      <w:r w:rsidRPr="00EA7FD9">
        <w:rPr>
          <w:rFonts w:ascii="Calibri" w:hAnsi="Calibri" w:cs="Calibri"/>
          <w:lang w:val="hr-HR"/>
        </w:rPr>
        <w:t xml:space="preserve"> </w:t>
      </w:r>
      <w:r>
        <w:rPr>
          <w:rFonts w:ascii="Calibri" w:hAnsi="Calibri" w:cs="Calibri"/>
          <w:lang w:val="hr-HR"/>
        </w:rPr>
        <w:t>aktivnosti</w:t>
      </w:r>
      <w:r w:rsidRPr="00EA7FD9">
        <w:rPr>
          <w:rFonts w:ascii="Calibri" w:hAnsi="Calibri" w:cs="Calibri"/>
          <w:lang w:val="hr-HR"/>
        </w:rPr>
        <w:t xml:space="preserve"> </w:t>
      </w:r>
      <w:r>
        <w:rPr>
          <w:rFonts w:ascii="Calibri" w:hAnsi="Calibri" w:cs="Calibri"/>
          <w:lang w:val="hr-HR"/>
        </w:rPr>
        <w:t xml:space="preserve">fonda. U drugom </w:t>
      </w:r>
      <w:r w:rsidRPr="00EA7FD9">
        <w:rPr>
          <w:rFonts w:ascii="Calibri" w:hAnsi="Calibri" w:cs="Calibri"/>
          <w:lang w:val="hr-HR"/>
        </w:rPr>
        <w:t>slučaju</w:t>
      </w:r>
      <w:r>
        <w:rPr>
          <w:rFonts w:ascii="Calibri" w:hAnsi="Calibri" w:cs="Calibri"/>
          <w:lang w:val="hr-HR"/>
        </w:rPr>
        <w:t>,</w:t>
      </w:r>
      <w:r w:rsidRPr="00EA7FD9">
        <w:rPr>
          <w:rFonts w:ascii="Calibri" w:hAnsi="Calibri" w:cs="Calibri"/>
          <w:lang w:val="hr-HR"/>
        </w:rPr>
        <w:t xml:space="preserve"> </w:t>
      </w:r>
      <w:r>
        <w:rPr>
          <w:rFonts w:ascii="Calibri" w:hAnsi="Calibri" w:cs="Calibri"/>
          <w:lang w:val="hr-HR"/>
        </w:rPr>
        <w:t xml:space="preserve">moguća </w:t>
      </w:r>
      <w:r w:rsidRPr="00EA7FD9">
        <w:rPr>
          <w:rFonts w:ascii="Calibri" w:hAnsi="Calibri" w:cs="Calibri"/>
          <w:lang w:val="hr-HR"/>
        </w:rPr>
        <w:t xml:space="preserve">potpora upraviteljima fondova rješava </w:t>
      </w:r>
      <w:r>
        <w:rPr>
          <w:rFonts w:ascii="Calibri" w:hAnsi="Calibri" w:cs="Calibri"/>
          <w:lang w:val="hr-HR"/>
        </w:rPr>
        <w:t xml:space="preserve">se </w:t>
      </w:r>
      <w:r w:rsidRPr="00EA7FD9">
        <w:rPr>
          <w:rFonts w:ascii="Calibri" w:hAnsi="Calibri" w:cs="Calibri"/>
          <w:lang w:val="hr-HR"/>
        </w:rPr>
        <w:t xml:space="preserve">zahtjevom za javni natječaj za sve financijske posrednike koji će biti uključeni u upravljanje instrumentima </w:t>
      </w:r>
      <w:r>
        <w:rPr>
          <w:rFonts w:ascii="Calibri" w:hAnsi="Calibri" w:cs="Calibri"/>
          <w:lang w:val="hr-HR"/>
        </w:rPr>
        <w:t>poput</w:t>
      </w:r>
      <w:r w:rsidRPr="00EA7FD9">
        <w:rPr>
          <w:rFonts w:ascii="Calibri" w:hAnsi="Calibri" w:cs="Calibri"/>
          <w:lang w:val="hr-HR"/>
        </w:rPr>
        <w:t xml:space="preserve"> JESSICA</w:t>
      </w:r>
      <w:r>
        <w:rPr>
          <w:rFonts w:ascii="Calibri" w:hAnsi="Calibri" w:cs="Calibri"/>
          <w:lang w:val="hr-HR"/>
        </w:rPr>
        <w:t>-e</w:t>
      </w:r>
      <w:r w:rsidRPr="00EA7FD9">
        <w:rPr>
          <w:rFonts w:ascii="Calibri" w:hAnsi="Calibri" w:cs="Calibri"/>
          <w:lang w:val="hr-HR"/>
        </w:rPr>
        <w:t>.</w:t>
      </w:r>
    </w:p>
    <w:p w14:paraId="7521D7B3" w14:textId="77777777" w:rsidR="00132E7D" w:rsidRPr="00EA7FD9" w:rsidRDefault="00132E7D" w:rsidP="00F030D3">
      <w:pPr>
        <w:spacing w:before="40" w:after="40" w:line="300" w:lineRule="auto"/>
        <w:rPr>
          <w:rFonts w:ascii="Calibri" w:hAnsi="Calibri" w:cs="Calibri"/>
          <w:lang w:val="hr-HR"/>
        </w:rPr>
      </w:pPr>
    </w:p>
    <w:p w14:paraId="2E5CECBC" w14:textId="77777777" w:rsidR="00132E7D" w:rsidRPr="00EA7FD9" w:rsidRDefault="00132E7D" w:rsidP="00F030D3">
      <w:pPr>
        <w:spacing w:before="40" w:after="40" w:line="300" w:lineRule="auto"/>
        <w:rPr>
          <w:rFonts w:ascii="Calibri" w:hAnsi="Calibri" w:cs="Calibri"/>
          <w:lang w:val="hr-HR"/>
        </w:rPr>
      </w:pPr>
      <w:r w:rsidRPr="00EA7FD9">
        <w:rPr>
          <w:rFonts w:ascii="Calibri" w:hAnsi="Calibri" w:cs="Calibri"/>
          <w:lang w:val="hr-HR"/>
        </w:rPr>
        <w:br w:type="page"/>
      </w:r>
    </w:p>
    <w:p w14:paraId="3DF2A1C4" w14:textId="77777777" w:rsidR="00132E7D" w:rsidRPr="00EA7FD9" w:rsidRDefault="00132E7D" w:rsidP="00F030D3">
      <w:pPr>
        <w:pStyle w:val="14-Heading1"/>
        <w:spacing w:before="40" w:after="40" w:line="300" w:lineRule="auto"/>
        <w:rPr>
          <w:lang w:val="hr-HR"/>
        </w:rPr>
      </w:pPr>
      <w:bookmarkStart w:id="3" w:name="_Toc394052270"/>
      <w:r w:rsidRPr="00EA7FD9">
        <w:rPr>
          <w:lang w:val="hr-HR"/>
        </w:rPr>
        <w:lastRenderedPageBreak/>
        <w:t>3.</w:t>
      </w:r>
      <w:r w:rsidRPr="00EA7FD9">
        <w:rPr>
          <w:lang w:val="hr-HR"/>
        </w:rPr>
        <w:tab/>
        <w:t>Iskustv</w:t>
      </w:r>
      <w:r>
        <w:rPr>
          <w:lang w:val="hr-HR"/>
        </w:rPr>
        <w:t>a</w:t>
      </w:r>
      <w:r w:rsidRPr="00EA7FD9">
        <w:rPr>
          <w:lang w:val="hr-HR"/>
        </w:rPr>
        <w:t xml:space="preserve"> s </w:t>
      </w:r>
      <w:r>
        <w:rPr>
          <w:lang w:val="hr-HR"/>
        </w:rPr>
        <w:t>primjenom instrumenta</w:t>
      </w:r>
      <w:r w:rsidRPr="00EA7FD9">
        <w:rPr>
          <w:lang w:val="hr-HR"/>
        </w:rPr>
        <w:t xml:space="preserve"> JESSICA u razdoblju 2007.-2013.</w:t>
      </w:r>
      <w:bookmarkEnd w:id="3"/>
    </w:p>
    <w:p w14:paraId="2034C242" w14:textId="77777777" w:rsidR="00132E7D" w:rsidRPr="00CF2B98" w:rsidRDefault="00132E7D" w:rsidP="00F030D3">
      <w:pPr>
        <w:pStyle w:val="14-Heading2"/>
        <w:spacing w:before="40" w:after="40" w:line="300" w:lineRule="auto"/>
        <w:rPr>
          <w:sz w:val="22"/>
          <w:szCs w:val="22"/>
          <w:lang w:val="hr-HR"/>
        </w:rPr>
      </w:pPr>
      <w:bookmarkStart w:id="4" w:name="_Toc394052271"/>
      <w:r w:rsidRPr="00CF2B98">
        <w:rPr>
          <w:sz w:val="22"/>
          <w:szCs w:val="22"/>
          <w:lang w:val="hr-HR"/>
        </w:rPr>
        <w:t>3.1</w:t>
      </w:r>
      <w:r w:rsidRPr="00CF2B98">
        <w:rPr>
          <w:sz w:val="22"/>
          <w:szCs w:val="22"/>
          <w:lang w:val="hr-HR"/>
        </w:rPr>
        <w:tab/>
        <w:t>Opseg korištenja</w:t>
      </w:r>
      <w:bookmarkEnd w:id="4"/>
    </w:p>
    <w:p w14:paraId="230D2097" w14:textId="77777777" w:rsidR="00132E7D" w:rsidRPr="00EA7FD9" w:rsidRDefault="00132E7D" w:rsidP="00F030D3">
      <w:pPr>
        <w:spacing w:before="40" w:after="40" w:line="300" w:lineRule="auto"/>
        <w:rPr>
          <w:rFonts w:ascii="Calibri" w:hAnsi="Calibri" w:cs="Calibri"/>
          <w:lang w:val="hr-HR"/>
        </w:rPr>
      </w:pPr>
      <w:r>
        <w:rPr>
          <w:rFonts w:ascii="Calibri" w:hAnsi="Calibri" w:cs="Calibri"/>
          <w:lang w:val="hr-HR"/>
        </w:rPr>
        <w:t>Korištenje</w:t>
      </w:r>
      <w:r w:rsidRPr="00EA7FD9">
        <w:rPr>
          <w:rFonts w:ascii="Calibri" w:hAnsi="Calibri" w:cs="Calibri"/>
          <w:lang w:val="hr-HR"/>
        </w:rPr>
        <w:t xml:space="preserve"> JESSICA</w:t>
      </w:r>
      <w:r>
        <w:rPr>
          <w:rFonts w:ascii="Calibri" w:hAnsi="Calibri" w:cs="Calibri"/>
          <w:lang w:val="hr-HR"/>
        </w:rPr>
        <w:t>-e</w:t>
      </w:r>
      <w:r w:rsidRPr="00EA7FD9">
        <w:rPr>
          <w:rFonts w:ascii="Calibri" w:hAnsi="Calibri" w:cs="Calibri"/>
          <w:lang w:val="hr-HR"/>
        </w:rPr>
        <w:t xml:space="preserve"> </w:t>
      </w:r>
      <w:r>
        <w:rPr>
          <w:rFonts w:ascii="Calibri" w:hAnsi="Calibri" w:cs="Calibri"/>
          <w:lang w:val="hr-HR"/>
        </w:rPr>
        <w:t xml:space="preserve">u razdoblju </w:t>
      </w:r>
      <w:r w:rsidRPr="00EA7FD9">
        <w:rPr>
          <w:rFonts w:ascii="Calibri" w:hAnsi="Calibri" w:cs="Calibri"/>
          <w:lang w:val="hr-HR"/>
        </w:rPr>
        <w:t>2007</w:t>
      </w:r>
      <w:r>
        <w:rPr>
          <w:rFonts w:ascii="Calibri" w:hAnsi="Calibri" w:cs="Calibri"/>
          <w:lang w:val="hr-HR"/>
        </w:rPr>
        <w:t>.</w:t>
      </w:r>
      <w:r w:rsidRPr="00EA7FD9">
        <w:rPr>
          <w:rFonts w:ascii="Calibri" w:hAnsi="Calibri" w:cs="Calibri"/>
          <w:lang w:val="hr-HR"/>
        </w:rPr>
        <w:t>-</w:t>
      </w:r>
      <w:r>
        <w:rPr>
          <w:rFonts w:ascii="Calibri" w:hAnsi="Calibri" w:cs="Calibri"/>
          <w:lang w:val="hr-HR"/>
        </w:rPr>
        <w:t>20</w:t>
      </w:r>
      <w:r w:rsidRPr="00EA7FD9">
        <w:rPr>
          <w:rFonts w:ascii="Calibri" w:hAnsi="Calibri" w:cs="Calibri"/>
          <w:lang w:val="hr-HR"/>
        </w:rPr>
        <w:t>13</w:t>
      </w:r>
      <w:r>
        <w:rPr>
          <w:rFonts w:ascii="Calibri" w:hAnsi="Calibri" w:cs="Calibri"/>
          <w:lang w:val="hr-HR"/>
        </w:rPr>
        <w:t>.</w:t>
      </w:r>
      <w:r w:rsidRPr="00EA7FD9">
        <w:rPr>
          <w:rFonts w:ascii="Calibri" w:hAnsi="Calibri" w:cs="Calibri"/>
          <w:lang w:val="hr-HR"/>
        </w:rPr>
        <w:t xml:space="preserve"> skromno je u usporedbi s </w:t>
      </w:r>
      <w:r>
        <w:rPr>
          <w:rFonts w:ascii="Calibri" w:hAnsi="Calibri" w:cs="Calibri"/>
          <w:lang w:val="hr-HR"/>
        </w:rPr>
        <w:t>instrumentima financijskog inženjeringa</w:t>
      </w:r>
      <w:r w:rsidRPr="00EA7FD9">
        <w:rPr>
          <w:rFonts w:ascii="Calibri" w:hAnsi="Calibri" w:cs="Calibri"/>
          <w:lang w:val="hr-HR"/>
        </w:rPr>
        <w:t xml:space="preserve"> (</w:t>
      </w:r>
      <w:r>
        <w:rPr>
          <w:rFonts w:ascii="Calibri" w:hAnsi="Calibri" w:cs="Calibri"/>
          <w:lang w:val="hr-HR"/>
        </w:rPr>
        <w:t xml:space="preserve">terminologija korištena prije razdoblja </w:t>
      </w:r>
      <w:r w:rsidRPr="00EA7FD9">
        <w:rPr>
          <w:rFonts w:ascii="Calibri" w:hAnsi="Calibri" w:cs="Calibri"/>
          <w:lang w:val="hr-HR"/>
        </w:rPr>
        <w:t>2014</w:t>
      </w:r>
      <w:r>
        <w:rPr>
          <w:rFonts w:ascii="Calibri" w:hAnsi="Calibri" w:cs="Calibri"/>
          <w:lang w:val="hr-HR"/>
        </w:rPr>
        <w:t>.</w:t>
      </w:r>
      <w:r w:rsidRPr="00EA7FD9">
        <w:rPr>
          <w:rFonts w:ascii="Calibri" w:hAnsi="Calibri" w:cs="Calibri"/>
          <w:lang w:val="hr-HR"/>
        </w:rPr>
        <w:t>-</w:t>
      </w:r>
      <w:r>
        <w:rPr>
          <w:rFonts w:ascii="Calibri" w:hAnsi="Calibri" w:cs="Calibri"/>
          <w:lang w:val="hr-HR"/>
        </w:rPr>
        <w:t>20</w:t>
      </w:r>
      <w:r w:rsidRPr="00EA7FD9">
        <w:rPr>
          <w:rFonts w:ascii="Calibri" w:hAnsi="Calibri" w:cs="Calibri"/>
          <w:lang w:val="hr-HR"/>
        </w:rPr>
        <w:t>20</w:t>
      </w:r>
      <w:r>
        <w:rPr>
          <w:rFonts w:ascii="Calibri" w:hAnsi="Calibri" w:cs="Calibri"/>
          <w:lang w:val="hr-HR"/>
        </w:rPr>
        <w:t>.</w:t>
      </w:r>
      <w:r w:rsidRPr="00EA7FD9">
        <w:rPr>
          <w:rFonts w:ascii="Calibri" w:hAnsi="Calibri" w:cs="Calibri"/>
          <w:lang w:val="hr-HR"/>
        </w:rPr>
        <w:t>)</w:t>
      </w:r>
      <w:r>
        <w:rPr>
          <w:rFonts w:ascii="Calibri" w:hAnsi="Calibri" w:cs="Calibri"/>
          <w:lang w:val="hr-HR"/>
        </w:rPr>
        <w:t>,</w:t>
      </w:r>
      <w:r w:rsidRPr="00EA7FD9">
        <w:rPr>
          <w:rFonts w:ascii="Calibri" w:hAnsi="Calibri" w:cs="Calibri"/>
          <w:lang w:val="hr-HR"/>
        </w:rPr>
        <w:t xml:space="preserve"> </w:t>
      </w:r>
      <w:r>
        <w:rPr>
          <w:rFonts w:ascii="Calibri" w:hAnsi="Calibri" w:cs="Calibri"/>
          <w:lang w:val="hr-HR"/>
        </w:rPr>
        <w:t>namijenjenim</w:t>
      </w:r>
      <w:r w:rsidRPr="00EA7FD9">
        <w:rPr>
          <w:rFonts w:ascii="Calibri" w:hAnsi="Calibri" w:cs="Calibri"/>
          <w:lang w:val="hr-HR"/>
        </w:rPr>
        <w:t xml:space="preserve"> poduzećima. Do kraja 2012.</w:t>
      </w:r>
      <w:r>
        <w:rPr>
          <w:rFonts w:ascii="Calibri" w:hAnsi="Calibri" w:cs="Calibri"/>
          <w:lang w:val="hr-HR"/>
        </w:rPr>
        <w:t xml:space="preserve"> godine</w:t>
      </w:r>
      <w:r w:rsidRPr="00EA7FD9">
        <w:rPr>
          <w:rFonts w:ascii="Calibri" w:hAnsi="Calibri" w:cs="Calibri"/>
          <w:lang w:val="hr-HR"/>
        </w:rPr>
        <w:t xml:space="preserve"> </w:t>
      </w:r>
      <w:r>
        <w:rPr>
          <w:rFonts w:ascii="Calibri" w:hAnsi="Calibri" w:cs="Calibri"/>
          <w:lang w:val="hr-HR"/>
        </w:rPr>
        <w:t>otprilike</w:t>
      </w:r>
      <w:r w:rsidRPr="00EA7FD9">
        <w:rPr>
          <w:rFonts w:ascii="Calibri" w:hAnsi="Calibri" w:cs="Calibri"/>
          <w:lang w:val="hr-HR"/>
        </w:rPr>
        <w:t xml:space="preserve"> 2,1 milijardi eura dodijeljeno je iz Operativnih programa za 76 </w:t>
      </w:r>
      <w:r>
        <w:rPr>
          <w:rFonts w:ascii="Calibri" w:hAnsi="Calibri" w:cs="Calibri"/>
          <w:lang w:val="hr-HR"/>
        </w:rPr>
        <w:t>instrumenata financijskog inženjeringa</w:t>
      </w:r>
      <w:r w:rsidRPr="00EA7FD9">
        <w:rPr>
          <w:rFonts w:ascii="Calibri" w:hAnsi="Calibri" w:cs="Calibri"/>
          <w:lang w:val="hr-HR"/>
        </w:rPr>
        <w:t xml:space="preserve"> (56 </w:t>
      </w:r>
      <w:r>
        <w:rPr>
          <w:rFonts w:ascii="Calibri" w:hAnsi="Calibri" w:cs="Calibri"/>
          <w:lang w:val="hr-HR"/>
        </w:rPr>
        <w:t>za urbani razvoj i obnovu -</w:t>
      </w:r>
      <w:r w:rsidRPr="00EA7FD9">
        <w:rPr>
          <w:rFonts w:ascii="Calibri" w:hAnsi="Calibri" w:cs="Calibri"/>
          <w:lang w:val="hr-HR"/>
        </w:rPr>
        <w:t xml:space="preserve"> 1,5 milijard</w:t>
      </w:r>
      <w:r>
        <w:rPr>
          <w:rFonts w:ascii="Calibri" w:hAnsi="Calibri" w:cs="Calibri"/>
          <w:lang w:val="hr-HR"/>
        </w:rPr>
        <w:t>i eura</w:t>
      </w:r>
      <w:r w:rsidRPr="00EA7FD9">
        <w:rPr>
          <w:rFonts w:ascii="Calibri" w:hAnsi="Calibri" w:cs="Calibri"/>
          <w:lang w:val="hr-HR"/>
        </w:rPr>
        <w:t xml:space="preserve">; 20 </w:t>
      </w:r>
      <w:r>
        <w:rPr>
          <w:rFonts w:ascii="Calibri" w:hAnsi="Calibri" w:cs="Calibri"/>
          <w:lang w:val="hr-HR"/>
        </w:rPr>
        <w:t xml:space="preserve">za </w:t>
      </w:r>
      <w:r w:rsidRPr="00EA7FD9">
        <w:rPr>
          <w:rFonts w:ascii="Calibri" w:hAnsi="Calibri" w:cs="Calibri"/>
          <w:lang w:val="hr-HR"/>
        </w:rPr>
        <w:t>energ</w:t>
      </w:r>
      <w:r>
        <w:rPr>
          <w:rFonts w:ascii="Calibri" w:hAnsi="Calibri" w:cs="Calibri"/>
          <w:lang w:val="hr-HR"/>
        </w:rPr>
        <w:t>etsku učinkovitost</w:t>
      </w:r>
      <w:r w:rsidRPr="00EA7FD9">
        <w:rPr>
          <w:rFonts w:ascii="Calibri" w:hAnsi="Calibri" w:cs="Calibri"/>
          <w:lang w:val="hr-HR"/>
        </w:rPr>
        <w:t>/</w:t>
      </w:r>
      <w:r>
        <w:rPr>
          <w:rFonts w:ascii="Calibri" w:hAnsi="Calibri" w:cs="Calibri"/>
          <w:lang w:val="hr-HR"/>
        </w:rPr>
        <w:t>obnovljive izvore energije –</w:t>
      </w:r>
      <w:r w:rsidRPr="00EA7FD9">
        <w:rPr>
          <w:rFonts w:ascii="Calibri" w:hAnsi="Calibri" w:cs="Calibri"/>
          <w:lang w:val="hr-HR"/>
        </w:rPr>
        <w:t xml:space="preserve"> 0</w:t>
      </w:r>
      <w:r>
        <w:rPr>
          <w:rFonts w:ascii="Calibri" w:hAnsi="Calibri" w:cs="Calibri"/>
          <w:lang w:val="hr-HR"/>
        </w:rPr>
        <w:t>,3 milijarde eura</w:t>
      </w:r>
      <w:r w:rsidRPr="00EA7FD9">
        <w:rPr>
          <w:rFonts w:ascii="Calibri" w:hAnsi="Calibri" w:cs="Calibri"/>
          <w:lang w:val="hr-HR"/>
        </w:rPr>
        <w:t>)</w:t>
      </w:r>
      <w:r w:rsidRPr="00EA7FD9">
        <w:rPr>
          <w:rFonts w:ascii="Calibri" w:hAnsi="Calibri" w:cs="Calibri"/>
          <w:vertAlign w:val="superscript"/>
          <w:lang w:val="hr-HR"/>
        </w:rPr>
        <w:footnoteReference w:id="4"/>
      </w:r>
      <w:r>
        <w:rPr>
          <w:rFonts w:ascii="Calibri" w:hAnsi="Calibri" w:cs="Calibri"/>
          <w:lang w:val="hr-HR"/>
        </w:rPr>
        <w:t xml:space="preserve">.  U usporedbi s tim, </w:t>
      </w:r>
      <w:r w:rsidRPr="00EA7FD9">
        <w:rPr>
          <w:rFonts w:ascii="Calibri" w:hAnsi="Calibri" w:cs="Calibri"/>
          <w:lang w:val="hr-HR"/>
        </w:rPr>
        <w:t>10</w:t>
      </w:r>
      <w:r>
        <w:rPr>
          <w:rFonts w:ascii="Calibri" w:hAnsi="Calibri" w:cs="Calibri"/>
          <w:lang w:val="hr-HR"/>
        </w:rPr>
        <w:t>,</w:t>
      </w:r>
      <w:r w:rsidRPr="00EA7FD9">
        <w:rPr>
          <w:rFonts w:ascii="Calibri" w:hAnsi="Calibri" w:cs="Calibri"/>
          <w:lang w:val="hr-HR"/>
        </w:rPr>
        <w:t>5</w:t>
      </w:r>
      <w:r>
        <w:rPr>
          <w:rFonts w:ascii="Calibri" w:hAnsi="Calibri" w:cs="Calibri"/>
          <w:lang w:val="hr-HR"/>
        </w:rPr>
        <w:t xml:space="preserve"> milijardi eura dodijeljeno je za 864 instrumenta financijskog inženjeringa namijenjenih poduzećima</w:t>
      </w:r>
      <w:r w:rsidRPr="00EA7FD9">
        <w:rPr>
          <w:rFonts w:ascii="Calibri" w:hAnsi="Calibri" w:cs="Calibri"/>
          <w:lang w:val="hr-HR"/>
        </w:rPr>
        <w:t xml:space="preserve">. </w:t>
      </w:r>
    </w:p>
    <w:p w14:paraId="49A806B0" w14:textId="77777777" w:rsidR="00132E7D" w:rsidRPr="00EA7FD9" w:rsidRDefault="00132E7D" w:rsidP="00F030D3">
      <w:pPr>
        <w:spacing w:before="40" w:after="40" w:line="300" w:lineRule="auto"/>
        <w:rPr>
          <w:rFonts w:ascii="Calibri" w:hAnsi="Calibri" w:cs="Calibri"/>
          <w:lang w:val="hr-HR"/>
        </w:rPr>
      </w:pPr>
    </w:p>
    <w:tbl>
      <w:tblPr>
        <w:tblW w:w="90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1"/>
        <w:gridCol w:w="907"/>
        <w:gridCol w:w="1843"/>
        <w:gridCol w:w="820"/>
        <w:gridCol w:w="1873"/>
        <w:gridCol w:w="820"/>
        <w:gridCol w:w="1873"/>
      </w:tblGrid>
      <w:tr w:rsidR="00132E7D" w:rsidRPr="00CF2B98" w14:paraId="27E47BD4" w14:textId="77777777">
        <w:trPr>
          <w:trHeight w:val="300"/>
        </w:trPr>
        <w:tc>
          <w:tcPr>
            <w:tcW w:w="9067" w:type="dxa"/>
            <w:gridSpan w:val="7"/>
            <w:noWrap/>
          </w:tcPr>
          <w:p w14:paraId="4E1572DE" w14:textId="77777777" w:rsidR="00132E7D" w:rsidRPr="00EA7FD9" w:rsidRDefault="00132E7D" w:rsidP="00F030D3">
            <w:pPr>
              <w:spacing w:before="40" w:after="40" w:line="300" w:lineRule="auto"/>
              <w:jc w:val="center"/>
              <w:rPr>
                <w:rFonts w:ascii="Calibri" w:hAnsi="Calibri" w:cs="Calibri"/>
                <w:b/>
                <w:bCs/>
                <w:sz w:val="20"/>
                <w:szCs w:val="20"/>
                <w:lang w:val="hr-HR"/>
              </w:rPr>
            </w:pPr>
            <w:r>
              <w:rPr>
                <w:rFonts w:ascii="Calibri" w:hAnsi="Calibri" w:cs="Calibri"/>
                <w:b/>
                <w:bCs/>
                <w:sz w:val="20"/>
                <w:szCs w:val="20"/>
                <w:lang w:val="hr-HR"/>
              </w:rPr>
              <w:t xml:space="preserve">Sredstava iz </w:t>
            </w:r>
            <w:r w:rsidRPr="00EA7FD9">
              <w:rPr>
                <w:rFonts w:ascii="Calibri" w:hAnsi="Calibri" w:cs="Calibri"/>
                <w:b/>
                <w:bCs/>
                <w:sz w:val="20"/>
                <w:szCs w:val="20"/>
                <w:lang w:val="hr-HR"/>
              </w:rPr>
              <w:t>OP</w:t>
            </w:r>
            <w:r>
              <w:rPr>
                <w:rFonts w:ascii="Calibri" w:hAnsi="Calibri" w:cs="Calibri"/>
                <w:b/>
                <w:bCs/>
                <w:sz w:val="20"/>
                <w:szCs w:val="20"/>
                <w:lang w:val="hr-HR"/>
              </w:rPr>
              <w:t>-a države članice dodijeljena za instrumente financijskog inženjeringa u razdoblju</w:t>
            </w:r>
            <w:r w:rsidRPr="00EA7FD9">
              <w:rPr>
                <w:rFonts w:ascii="Calibri" w:hAnsi="Calibri" w:cs="Calibri"/>
                <w:b/>
                <w:bCs/>
                <w:sz w:val="20"/>
                <w:szCs w:val="20"/>
                <w:lang w:val="hr-HR"/>
              </w:rPr>
              <w:t xml:space="preserve"> 2007</w:t>
            </w:r>
            <w:r>
              <w:rPr>
                <w:rFonts w:ascii="Calibri" w:hAnsi="Calibri" w:cs="Calibri"/>
                <w:b/>
                <w:bCs/>
                <w:sz w:val="20"/>
                <w:szCs w:val="20"/>
                <w:lang w:val="hr-HR"/>
              </w:rPr>
              <w:t>.</w:t>
            </w:r>
            <w:r w:rsidRPr="00EA7FD9">
              <w:rPr>
                <w:rFonts w:ascii="Calibri" w:hAnsi="Calibri" w:cs="Calibri"/>
                <w:b/>
                <w:bCs/>
                <w:sz w:val="20"/>
                <w:szCs w:val="20"/>
                <w:lang w:val="hr-HR"/>
              </w:rPr>
              <w:t>-</w:t>
            </w:r>
            <w:r>
              <w:rPr>
                <w:rFonts w:ascii="Calibri" w:hAnsi="Calibri" w:cs="Calibri"/>
                <w:b/>
                <w:bCs/>
                <w:sz w:val="20"/>
                <w:szCs w:val="20"/>
                <w:lang w:val="hr-HR"/>
              </w:rPr>
              <w:t>20</w:t>
            </w:r>
            <w:r w:rsidRPr="00EA7FD9">
              <w:rPr>
                <w:rFonts w:ascii="Calibri" w:hAnsi="Calibri" w:cs="Calibri"/>
                <w:b/>
                <w:bCs/>
                <w:sz w:val="20"/>
                <w:szCs w:val="20"/>
                <w:lang w:val="hr-HR"/>
              </w:rPr>
              <w:t>13</w:t>
            </w:r>
            <w:r>
              <w:rPr>
                <w:rFonts w:ascii="Calibri" w:hAnsi="Calibri" w:cs="Calibri"/>
                <w:b/>
                <w:bCs/>
                <w:sz w:val="20"/>
                <w:szCs w:val="20"/>
                <w:lang w:val="hr-HR"/>
              </w:rPr>
              <w:t>.</w:t>
            </w:r>
          </w:p>
        </w:tc>
      </w:tr>
      <w:tr w:rsidR="00132E7D" w:rsidRPr="00EA7FD9" w14:paraId="569DF18A" w14:textId="77777777">
        <w:trPr>
          <w:trHeight w:val="300"/>
        </w:trPr>
        <w:tc>
          <w:tcPr>
            <w:tcW w:w="931" w:type="dxa"/>
            <w:noWrap/>
          </w:tcPr>
          <w:p w14:paraId="036F2AF1" w14:textId="77777777" w:rsidR="00132E7D" w:rsidRPr="00EA7FD9" w:rsidRDefault="00132E7D" w:rsidP="00F030D3">
            <w:pPr>
              <w:spacing w:before="40" w:after="40" w:line="300" w:lineRule="auto"/>
              <w:rPr>
                <w:rFonts w:ascii="Calibri" w:hAnsi="Calibri" w:cs="Calibri"/>
                <w:b/>
                <w:bCs/>
                <w:sz w:val="20"/>
                <w:szCs w:val="20"/>
                <w:lang w:val="hr-HR"/>
              </w:rPr>
            </w:pPr>
            <w:r w:rsidRPr="00EA7FD9">
              <w:rPr>
                <w:rFonts w:ascii="Calibri" w:hAnsi="Calibri" w:cs="Calibri"/>
                <w:b/>
                <w:bCs/>
                <w:sz w:val="20"/>
                <w:szCs w:val="20"/>
                <w:lang w:val="hr-HR"/>
              </w:rPr>
              <w:t>Zemlja</w:t>
            </w:r>
          </w:p>
        </w:tc>
        <w:tc>
          <w:tcPr>
            <w:tcW w:w="2750" w:type="dxa"/>
            <w:gridSpan w:val="2"/>
            <w:noWrap/>
          </w:tcPr>
          <w:p w14:paraId="5ACF187F" w14:textId="77777777" w:rsidR="00132E7D" w:rsidRPr="00EA7FD9" w:rsidRDefault="00132E7D" w:rsidP="00F030D3">
            <w:pPr>
              <w:spacing w:before="40" w:after="40" w:line="300" w:lineRule="auto"/>
              <w:jc w:val="center"/>
              <w:rPr>
                <w:rFonts w:ascii="Calibri" w:hAnsi="Calibri" w:cs="Calibri"/>
                <w:b/>
                <w:bCs/>
                <w:sz w:val="20"/>
                <w:szCs w:val="20"/>
                <w:lang w:val="hr-HR"/>
              </w:rPr>
            </w:pPr>
            <w:r w:rsidRPr="00EA7FD9">
              <w:rPr>
                <w:rFonts w:ascii="Calibri" w:hAnsi="Calibri" w:cs="Calibri"/>
                <w:b/>
                <w:bCs/>
                <w:sz w:val="20"/>
                <w:szCs w:val="20"/>
                <w:lang w:val="hr-HR"/>
              </w:rPr>
              <w:t>Urbani razvoj</w:t>
            </w:r>
          </w:p>
        </w:tc>
        <w:tc>
          <w:tcPr>
            <w:tcW w:w="2693" w:type="dxa"/>
            <w:gridSpan w:val="2"/>
            <w:noWrap/>
          </w:tcPr>
          <w:p w14:paraId="55EB9BC6" w14:textId="77777777" w:rsidR="00132E7D" w:rsidRPr="00EA7FD9" w:rsidRDefault="00132E7D" w:rsidP="00F030D3">
            <w:pPr>
              <w:spacing w:before="40" w:after="40" w:line="300" w:lineRule="auto"/>
              <w:jc w:val="center"/>
              <w:rPr>
                <w:rFonts w:ascii="Calibri" w:hAnsi="Calibri" w:cs="Calibri"/>
                <w:b/>
                <w:bCs/>
                <w:sz w:val="20"/>
                <w:szCs w:val="20"/>
                <w:lang w:val="hr-HR"/>
              </w:rPr>
            </w:pPr>
            <w:r w:rsidRPr="00EA7FD9">
              <w:rPr>
                <w:rFonts w:ascii="Calibri" w:hAnsi="Calibri" w:cs="Calibri"/>
                <w:b/>
                <w:bCs/>
                <w:sz w:val="20"/>
                <w:szCs w:val="20"/>
                <w:lang w:val="hr-HR"/>
              </w:rPr>
              <w:t xml:space="preserve">Energetska učinkovitost / </w:t>
            </w:r>
            <w:r>
              <w:rPr>
                <w:rFonts w:ascii="Calibri" w:hAnsi="Calibri" w:cs="Calibri"/>
                <w:b/>
                <w:bCs/>
                <w:sz w:val="20"/>
                <w:szCs w:val="20"/>
                <w:lang w:val="hr-HR"/>
              </w:rPr>
              <w:t>obnovljivi izvori energije</w:t>
            </w:r>
          </w:p>
        </w:tc>
        <w:tc>
          <w:tcPr>
            <w:tcW w:w="2693" w:type="dxa"/>
            <w:gridSpan w:val="2"/>
            <w:noWrap/>
          </w:tcPr>
          <w:p w14:paraId="4AC3DA63" w14:textId="77777777" w:rsidR="00132E7D" w:rsidRPr="00EA7FD9" w:rsidRDefault="00132E7D" w:rsidP="00F030D3">
            <w:pPr>
              <w:spacing w:before="40" w:after="40" w:line="300" w:lineRule="auto"/>
              <w:jc w:val="center"/>
              <w:rPr>
                <w:rFonts w:ascii="Calibri" w:hAnsi="Calibri" w:cs="Calibri"/>
                <w:b/>
                <w:bCs/>
                <w:sz w:val="20"/>
                <w:szCs w:val="20"/>
                <w:lang w:val="hr-HR"/>
              </w:rPr>
            </w:pPr>
            <w:r w:rsidRPr="00EA7FD9">
              <w:rPr>
                <w:rFonts w:ascii="Calibri" w:hAnsi="Calibri" w:cs="Calibri"/>
                <w:b/>
                <w:bCs/>
                <w:sz w:val="20"/>
                <w:szCs w:val="20"/>
                <w:lang w:val="hr-HR"/>
              </w:rPr>
              <w:t>Ukupno</w:t>
            </w:r>
          </w:p>
        </w:tc>
      </w:tr>
      <w:tr w:rsidR="00132E7D" w:rsidRPr="00CF2B98" w14:paraId="0CAE1887" w14:textId="77777777">
        <w:trPr>
          <w:trHeight w:val="300"/>
        </w:trPr>
        <w:tc>
          <w:tcPr>
            <w:tcW w:w="931" w:type="dxa"/>
            <w:noWrap/>
          </w:tcPr>
          <w:p w14:paraId="0448125A" w14:textId="77777777" w:rsidR="00132E7D" w:rsidRPr="00EA7FD9" w:rsidRDefault="00132E7D" w:rsidP="00F030D3">
            <w:pPr>
              <w:spacing w:before="40" w:after="40" w:line="300" w:lineRule="auto"/>
              <w:rPr>
                <w:rFonts w:ascii="Calibri" w:hAnsi="Calibri" w:cs="Calibri"/>
                <w:b/>
                <w:bCs/>
                <w:sz w:val="20"/>
                <w:szCs w:val="20"/>
                <w:lang w:val="hr-HR"/>
              </w:rPr>
            </w:pPr>
          </w:p>
        </w:tc>
        <w:tc>
          <w:tcPr>
            <w:tcW w:w="907" w:type="dxa"/>
            <w:noWrap/>
          </w:tcPr>
          <w:p w14:paraId="5BF4CAA7" w14:textId="77777777" w:rsidR="00132E7D" w:rsidRPr="00EA7FD9" w:rsidRDefault="00132E7D" w:rsidP="00F030D3">
            <w:pPr>
              <w:spacing w:before="40" w:after="40" w:line="300" w:lineRule="auto"/>
              <w:jc w:val="center"/>
              <w:rPr>
                <w:rFonts w:ascii="Calibri" w:hAnsi="Calibri" w:cs="Calibri"/>
                <w:b/>
                <w:bCs/>
                <w:sz w:val="20"/>
                <w:szCs w:val="20"/>
                <w:lang w:val="hr-HR"/>
              </w:rPr>
            </w:pPr>
            <w:r>
              <w:rPr>
                <w:rFonts w:ascii="Calibri" w:hAnsi="Calibri" w:cs="Calibri"/>
                <w:b/>
                <w:bCs/>
                <w:sz w:val="20"/>
                <w:szCs w:val="20"/>
                <w:lang w:val="hr-HR"/>
              </w:rPr>
              <w:t>Br. instr.</w:t>
            </w:r>
          </w:p>
        </w:tc>
        <w:tc>
          <w:tcPr>
            <w:tcW w:w="1843" w:type="dxa"/>
            <w:noWrap/>
          </w:tcPr>
          <w:p w14:paraId="590F5F34" w14:textId="77777777" w:rsidR="00132E7D" w:rsidRPr="00EA7FD9" w:rsidRDefault="00132E7D" w:rsidP="00F030D3">
            <w:pPr>
              <w:spacing w:before="40" w:after="40" w:line="300" w:lineRule="auto"/>
              <w:jc w:val="center"/>
              <w:rPr>
                <w:rFonts w:ascii="Calibri" w:hAnsi="Calibri" w:cs="Calibri"/>
                <w:b/>
                <w:bCs/>
                <w:sz w:val="20"/>
                <w:szCs w:val="20"/>
                <w:lang w:val="hr-HR"/>
              </w:rPr>
            </w:pPr>
            <w:r>
              <w:rPr>
                <w:rFonts w:ascii="Calibri" w:hAnsi="Calibri" w:cs="Calibri"/>
                <w:b/>
                <w:bCs/>
                <w:sz w:val="20"/>
                <w:szCs w:val="20"/>
                <w:lang w:val="hr-HR"/>
              </w:rPr>
              <w:t>Doprinos OP-a</w:t>
            </w:r>
            <w:r w:rsidRPr="00EA7FD9">
              <w:rPr>
                <w:rFonts w:ascii="Calibri" w:hAnsi="Calibri" w:cs="Calibri"/>
                <w:b/>
                <w:bCs/>
                <w:sz w:val="20"/>
                <w:szCs w:val="20"/>
                <w:lang w:val="hr-HR"/>
              </w:rPr>
              <w:t xml:space="preserve"> (</w:t>
            </w:r>
            <w:r>
              <w:rPr>
                <w:rFonts w:ascii="Calibri" w:hAnsi="Calibri" w:cs="Calibri"/>
                <w:b/>
                <w:bCs/>
                <w:sz w:val="20"/>
                <w:szCs w:val="20"/>
                <w:lang w:val="hr-HR"/>
              </w:rPr>
              <w:t>u milijunima eura</w:t>
            </w:r>
            <w:r w:rsidRPr="00EA7FD9">
              <w:rPr>
                <w:rFonts w:ascii="Calibri" w:hAnsi="Calibri" w:cs="Calibri"/>
                <w:b/>
                <w:bCs/>
                <w:sz w:val="20"/>
                <w:szCs w:val="20"/>
                <w:lang w:val="hr-HR"/>
              </w:rPr>
              <w:t>)</w:t>
            </w:r>
          </w:p>
        </w:tc>
        <w:tc>
          <w:tcPr>
            <w:tcW w:w="820" w:type="dxa"/>
            <w:noWrap/>
          </w:tcPr>
          <w:p w14:paraId="3DC4355E" w14:textId="77777777" w:rsidR="00132E7D" w:rsidRPr="00EA7FD9" w:rsidRDefault="00132E7D" w:rsidP="00F030D3">
            <w:pPr>
              <w:spacing w:before="40" w:after="40" w:line="300" w:lineRule="auto"/>
              <w:jc w:val="center"/>
              <w:rPr>
                <w:rFonts w:ascii="Calibri" w:hAnsi="Calibri" w:cs="Calibri"/>
                <w:b/>
                <w:bCs/>
                <w:sz w:val="20"/>
                <w:szCs w:val="20"/>
                <w:lang w:val="hr-HR"/>
              </w:rPr>
            </w:pPr>
            <w:r>
              <w:rPr>
                <w:rFonts w:ascii="Calibri" w:hAnsi="Calibri" w:cs="Calibri"/>
                <w:b/>
                <w:bCs/>
                <w:sz w:val="20"/>
                <w:szCs w:val="20"/>
                <w:lang w:val="hr-HR"/>
              </w:rPr>
              <w:t>Br. instr.</w:t>
            </w:r>
          </w:p>
        </w:tc>
        <w:tc>
          <w:tcPr>
            <w:tcW w:w="1873" w:type="dxa"/>
            <w:noWrap/>
          </w:tcPr>
          <w:p w14:paraId="2B402B12" w14:textId="77777777" w:rsidR="00132E7D" w:rsidRPr="00EA7FD9" w:rsidRDefault="00132E7D" w:rsidP="00F030D3">
            <w:pPr>
              <w:spacing w:before="40" w:after="40" w:line="300" w:lineRule="auto"/>
              <w:jc w:val="center"/>
              <w:rPr>
                <w:rFonts w:ascii="Calibri" w:hAnsi="Calibri" w:cs="Calibri"/>
                <w:b/>
                <w:bCs/>
                <w:sz w:val="20"/>
                <w:szCs w:val="20"/>
                <w:lang w:val="hr-HR"/>
              </w:rPr>
            </w:pPr>
            <w:r>
              <w:rPr>
                <w:rFonts w:ascii="Calibri" w:hAnsi="Calibri" w:cs="Calibri"/>
                <w:b/>
                <w:bCs/>
                <w:sz w:val="20"/>
                <w:szCs w:val="20"/>
                <w:lang w:val="hr-HR"/>
              </w:rPr>
              <w:t>Doprinos OP-a (u milijunima eura</w:t>
            </w:r>
            <w:r w:rsidRPr="00EA7FD9">
              <w:rPr>
                <w:rFonts w:ascii="Calibri" w:hAnsi="Calibri" w:cs="Calibri"/>
                <w:b/>
                <w:bCs/>
                <w:sz w:val="20"/>
                <w:szCs w:val="20"/>
                <w:lang w:val="hr-HR"/>
              </w:rPr>
              <w:t>)</w:t>
            </w:r>
          </w:p>
        </w:tc>
        <w:tc>
          <w:tcPr>
            <w:tcW w:w="820" w:type="dxa"/>
            <w:noWrap/>
          </w:tcPr>
          <w:p w14:paraId="57C115CC" w14:textId="77777777" w:rsidR="00132E7D" w:rsidRPr="00EA7FD9" w:rsidRDefault="00132E7D" w:rsidP="00F030D3">
            <w:pPr>
              <w:spacing w:before="40" w:after="40" w:line="300" w:lineRule="auto"/>
              <w:jc w:val="center"/>
              <w:rPr>
                <w:rFonts w:ascii="Calibri" w:hAnsi="Calibri" w:cs="Calibri"/>
                <w:b/>
                <w:bCs/>
                <w:sz w:val="20"/>
                <w:szCs w:val="20"/>
                <w:lang w:val="hr-HR"/>
              </w:rPr>
            </w:pPr>
            <w:r>
              <w:rPr>
                <w:rFonts w:ascii="Calibri" w:hAnsi="Calibri" w:cs="Calibri"/>
                <w:b/>
                <w:bCs/>
                <w:sz w:val="20"/>
                <w:szCs w:val="20"/>
                <w:lang w:val="hr-HR"/>
              </w:rPr>
              <w:t>Br. instr.</w:t>
            </w:r>
          </w:p>
        </w:tc>
        <w:tc>
          <w:tcPr>
            <w:tcW w:w="1873" w:type="dxa"/>
            <w:noWrap/>
          </w:tcPr>
          <w:p w14:paraId="256E1F28" w14:textId="77777777" w:rsidR="00132E7D" w:rsidRPr="00EA7FD9" w:rsidRDefault="00132E7D" w:rsidP="00F030D3">
            <w:pPr>
              <w:spacing w:before="40" w:after="40" w:line="300" w:lineRule="auto"/>
              <w:jc w:val="center"/>
              <w:rPr>
                <w:rFonts w:ascii="Calibri" w:hAnsi="Calibri" w:cs="Calibri"/>
                <w:b/>
                <w:bCs/>
                <w:sz w:val="20"/>
                <w:szCs w:val="20"/>
                <w:lang w:val="hr-HR"/>
              </w:rPr>
            </w:pPr>
            <w:r>
              <w:rPr>
                <w:rFonts w:ascii="Calibri" w:hAnsi="Calibri" w:cs="Calibri"/>
                <w:b/>
                <w:bCs/>
                <w:sz w:val="20"/>
                <w:szCs w:val="20"/>
                <w:lang w:val="hr-HR"/>
              </w:rPr>
              <w:t>Doprinos OP-a</w:t>
            </w:r>
            <w:r w:rsidRPr="00EA7FD9">
              <w:rPr>
                <w:rFonts w:ascii="Calibri" w:hAnsi="Calibri" w:cs="Calibri"/>
                <w:b/>
                <w:bCs/>
                <w:sz w:val="20"/>
                <w:szCs w:val="20"/>
                <w:lang w:val="hr-HR"/>
              </w:rPr>
              <w:t xml:space="preserve"> (</w:t>
            </w:r>
            <w:r>
              <w:rPr>
                <w:rFonts w:ascii="Calibri" w:hAnsi="Calibri" w:cs="Calibri"/>
                <w:b/>
                <w:bCs/>
                <w:sz w:val="20"/>
                <w:szCs w:val="20"/>
                <w:lang w:val="hr-HR"/>
              </w:rPr>
              <w:t>u milijunima eura</w:t>
            </w:r>
            <w:r w:rsidRPr="00EA7FD9">
              <w:rPr>
                <w:rFonts w:ascii="Calibri" w:hAnsi="Calibri" w:cs="Calibri"/>
                <w:b/>
                <w:bCs/>
                <w:sz w:val="20"/>
                <w:szCs w:val="20"/>
                <w:lang w:val="hr-HR"/>
              </w:rPr>
              <w:t>)</w:t>
            </w:r>
          </w:p>
        </w:tc>
      </w:tr>
      <w:tr w:rsidR="00132E7D" w:rsidRPr="00EA7FD9" w14:paraId="35E1E6B9" w14:textId="77777777">
        <w:trPr>
          <w:trHeight w:val="300"/>
        </w:trPr>
        <w:tc>
          <w:tcPr>
            <w:tcW w:w="931" w:type="dxa"/>
            <w:noWrap/>
          </w:tcPr>
          <w:p w14:paraId="0DEFA21A" w14:textId="77777777" w:rsidR="00132E7D" w:rsidRPr="00EA7FD9" w:rsidRDefault="00132E7D" w:rsidP="00F030D3">
            <w:pPr>
              <w:spacing w:before="40" w:after="40" w:line="300" w:lineRule="auto"/>
              <w:jc w:val="left"/>
              <w:rPr>
                <w:rFonts w:ascii="Calibri" w:hAnsi="Calibri" w:cs="Calibri"/>
                <w:color w:val="000000"/>
                <w:lang w:val="hr-HR" w:eastAsia="en-GB"/>
              </w:rPr>
            </w:pPr>
            <w:r w:rsidRPr="00EA7FD9">
              <w:rPr>
                <w:rFonts w:ascii="Calibri" w:hAnsi="Calibri" w:cs="Calibri"/>
                <w:color w:val="000000"/>
                <w:lang w:val="hr-HR" w:eastAsia="en-GB"/>
              </w:rPr>
              <w:t>BG</w:t>
            </w:r>
          </w:p>
        </w:tc>
        <w:tc>
          <w:tcPr>
            <w:tcW w:w="907" w:type="dxa"/>
            <w:noWrap/>
          </w:tcPr>
          <w:p w14:paraId="3D2A759E"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3</w:t>
            </w:r>
          </w:p>
        </w:tc>
        <w:tc>
          <w:tcPr>
            <w:tcW w:w="1843" w:type="dxa"/>
            <w:noWrap/>
          </w:tcPr>
          <w:p w14:paraId="20EF14C1"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33,00</w:t>
            </w:r>
          </w:p>
        </w:tc>
        <w:tc>
          <w:tcPr>
            <w:tcW w:w="820" w:type="dxa"/>
            <w:noWrap/>
          </w:tcPr>
          <w:p w14:paraId="0EFBE83D"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1</w:t>
            </w:r>
          </w:p>
        </w:tc>
        <w:tc>
          <w:tcPr>
            <w:tcW w:w="1873" w:type="dxa"/>
            <w:noWrap/>
          </w:tcPr>
          <w:p w14:paraId="71092182"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6,38</w:t>
            </w:r>
          </w:p>
        </w:tc>
        <w:tc>
          <w:tcPr>
            <w:tcW w:w="820" w:type="dxa"/>
            <w:noWrap/>
          </w:tcPr>
          <w:p w14:paraId="06575EA8"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4</w:t>
            </w:r>
          </w:p>
        </w:tc>
        <w:tc>
          <w:tcPr>
            <w:tcW w:w="1873" w:type="dxa"/>
            <w:noWrap/>
          </w:tcPr>
          <w:p w14:paraId="60D71232"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39,38</w:t>
            </w:r>
          </w:p>
        </w:tc>
      </w:tr>
      <w:tr w:rsidR="00132E7D" w:rsidRPr="00EA7FD9" w14:paraId="0CDF56C4" w14:textId="77777777">
        <w:trPr>
          <w:trHeight w:val="300"/>
        </w:trPr>
        <w:tc>
          <w:tcPr>
            <w:tcW w:w="931" w:type="dxa"/>
            <w:noWrap/>
          </w:tcPr>
          <w:p w14:paraId="365D29E3" w14:textId="77777777" w:rsidR="00132E7D" w:rsidRPr="00EA7FD9" w:rsidRDefault="00132E7D" w:rsidP="00F030D3">
            <w:pPr>
              <w:spacing w:before="40" w:after="40" w:line="300" w:lineRule="auto"/>
              <w:jc w:val="left"/>
              <w:rPr>
                <w:rFonts w:ascii="Calibri" w:hAnsi="Calibri" w:cs="Calibri"/>
                <w:color w:val="000000"/>
                <w:lang w:val="hr-HR" w:eastAsia="en-GB"/>
              </w:rPr>
            </w:pPr>
            <w:r w:rsidRPr="00EA7FD9">
              <w:rPr>
                <w:rFonts w:ascii="Calibri" w:hAnsi="Calibri" w:cs="Calibri"/>
                <w:color w:val="000000"/>
                <w:lang w:val="hr-HR" w:eastAsia="en-GB"/>
              </w:rPr>
              <w:t>CZ</w:t>
            </w:r>
          </w:p>
        </w:tc>
        <w:tc>
          <w:tcPr>
            <w:tcW w:w="907" w:type="dxa"/>
            <w:noWrap/>
          </w:tcPr>
          <w:p w14:paraId="2F1CCBC6"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1</w:t>
            </w:r>
          </w:p>
        </w:tc>
        <w:tc>
          <w:tcPr>
            <w:tcW w:w="1843" w:type="dxa"/>
            <w:noWrap/>
          </w:tcPr>
          <w:p w14:paraId="7EC22A64"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20,58</w:t>
            </w:r>
          </w:p>
        </w:tc>
        <w:tc>
          <w:tcPr>
            <w:tcW w:w="820" w:type="dxa"/>
            <w:noWrap/>
          </w:tcPr>
          <w:p w14:paraId="79E138C2"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1</w:t>
            </w:r>
          </w:p>
        </w:tc>
        <w:tc>
          <w:tcPr>
            <w:tcW w:w="1873" w:type="dxa"/>
            <w:noWrap/>
          </w:tcPr>
          <w:p w14:paraId="504B632F"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24,47</w:t>
            </w:r>
          </w:p>
        </w:tc>
        <w:tc>
          <w:tcPr>
            <w:tcW w:w="820" w:type="dxa"/>
            <w:noWrap/>
          </w:tcPr>
          <w:p w14:paraId="7728F3E3"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2</w:t>
            </w:r>
          </w:p>
        </w:tc>
        <w:tc>
          <w:tcPr>
            <w:tcW w:w="1873" w:type="dxa"/>
            <w:noWrap/>
          </w:tcPr>
          <w:p w14:paraId="7921484B"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45,05</w:t>
            </w:r>
          </w:p>
        </w:tc>
      </w:tr>
      <w:tr w:rsidR="00132E7D" w:rsidRPr="00EA7FD9" w14:paraId="6AD9DC1C" w14:textId="77777777">
        <w:trPr>
          <w:trHeight w:val="300"/>
        </w:trPr>
        <w:tc>
          <w:tcPr>
            <w:tcW w:w="931" w:type="dxa"/>
            <w:noWrap/>
          </w:tcPr>
          <w:p w14:paraId="6F1057DF" w14:textId="77777777" w:rsidR="00132E7D" w:rsidRPr="00EA7FD9" w:rsidRDefault="00132E7D" w:rsidP="00F030D3">
            <w:pPr>
              <w:spacing w:before="40" w:after="40" w:line="300" w:lineRule="auto"/>
              <w:jc w:val="left"/>
              <w:rPr>
                <w:rFonts w:ascii="Calibri" w:hAnsi="Calibri" w:cs="Calibri"/>
                <w:color w:val="000000"/>
                <w:lang w:val="hr-HR" w:eastAsia="en-GB"/>
              </w:rPr>
            </w:pPr>
            <w:r w:rsidRPr="00EA7FD9">
              <w:rPr>
                <w:rFonts w:ascii="Calibri" w:hAnsi="Calibri" w:cs="Calibri"/>
                <w:color w:val="000000"/>
                <w:lang w:val="hr-HR" w:eastAsia="en-GB"/>
              </w:rPr>
              <w:t>DE</w:t>
            </w:r>
          </w:p>
        </w:tc>
        <w:tc>
          <w:tcPr>
            <w:tcW w:w="907" w:type="dxa"/>
            <w:noWrap/>
          </w:tcPr>
          <w:p w14:paraId="6107E877"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3</w:t>
            </w:r>
          </w:p>
        </w:tc>
        <w:tc>
          <w:tcPr>
            <w:tcW w:w="1843" w:type="dxa"/>
            <w:noWrap/>
          </w:tcPr>
          <w:p w14:paraId="076E1126"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32,78</w:t>
            </w:r>
          </w:p>
        </w:tc>
        <w:tc>
          <w:tcPr>
            <w:tcW w:w="820" w:type="dxa"/>
            <w:noWrap/>
          </w:tcPr>
          <w:p w14:paraId="24949235" w14:textId="77777777" w:rsidR="00132E7D" w:rsidRPr="00EA7FD9" w:rsidRDefault="00132E7D" w:rsidP="00F030D3">
            <w:pPr>
              <w:spacing w:before="40" w:after="40" w:line="300" w:lineRule="auto"/>
              <w:jc w:val="right"/>
              <w:rPr>
                <w:rFonts w:ascii="Calibri" w:hAnsi="Calibri" w:cs="Calibri"/>
                <w:color w:val="000000"/>
                <w:lang w:val="hr-HR" w:eastAsia="en-GB"/>
              </w:rPr>
            </w:pPr>
          </w:p>
        </w:tc>
        <w:tc>
          <w:tcPr>
            <w:tcW w:w="1873" w:type="dxa"/>
            <w:noWrap/>
          </w:tcPr>
          <w:p w14:paraId="72B9C5F4" w14:textId="77777777" w:rsidR="00132E7D" w:rsidRPr="00EA7FD9" w:rsidRDefault="00132E7D" w:rsidP="00F030D3">
            <w:pPr>
              <w:spacing w:before="40" w:after="40" w:line="300" w:lineRule="auto"/>
              <w:jc w:val="left"/>
              <w:rPr>
                <w:rFonts w:ascii="Times New Roman" w:hAnsi="Times New Roman" w:cs="Times New Roman"/>
                <w:sz w:val="20"/>
                <w:szCs w:val="20"/>
                <w:lang w:val="hr-HR" w:eastAsia="en-GB"/>
              </w:rPr>
            </w:pPr>
          </w:p>
        </w:tc>
        <w:tc>
          <w:tcPr>
            <w:tcW w:w="820" w:type="dxa"/>
            <w:noWrap/>
          </w:tcPr>
          <w:p w14:paraId="5BEC2583"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3</w:t>
            </w:r>
          </w:p>
        </w:tc>
        <w:tc>
          <w:tcPr>
            <w:tcW w:w="1873" w:type="dxa"/>
            <w:noWrap/>
          </w:tcPr>
          <w:p w14:paraId="0D6806CF"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32,78</w:t>
            </w:r>
          </w:p>
        </w:tc>
      </w:tr>
      <w:tr w:rsidR="00132E7D" w:rsidRPr="00EA7FD9" w14:paraId="30C5FDE3" w14:textId="77777777">
        <w:trPr>
          <w:trHeight w:val="300"/>
        </w:trPr>
        <w:tc>
          <w:tcPr>
            <w:tcW w:w="931" w:type="dxa"/>
            <w:noWrap/>
          </w:tcPr>
          <w:p w14:paraId="42DDFEC1" w14:textId="77777777" w:rsidR="00132E7D" w:rsidRPr="00EA7FD9" w:rsidRDefault="00132E7D" w:rsidP="00F030D3">
            <w:pPr>
              <w:spacing w:before="40" w:after="40" w:line="300" w:lineRule="auto"/>
              <w:jc w:val="left"/>
              <w:rPr>
                <w:rFonts w:ascii="Calibri" w:hAnsi="Calibri" w:cs="Calibri"/>
                <w:color w:val="000000"/>
                <w:lang w:val="hr-HR" w:eastAsia="en-GB"/>
              </w:rPr>
            </w:pPr>
            <w:r w:rsidRPr="00EA7FD9">
              <w:rPr>
                <w:rFonts w:ascii="Calibri" w:hAnsi="Calibri" w:cs="Calibri"/>
                <w:color w:val="000000"/>
                <w:lang w:val="hr-HR" w:eastAsia="en-GB"/>
              </w:rPr>
              <w:t>DK</w:t>
            </w:r>
          </w:p>
        </w:tc>
        <w:tc>
          <w:tcPr>
            <w:tcW w:w="907" w:type="dxa"/>
            <w:noWrap/>
          </w:tcPr>
          <w:p w14:paraId="59831132" w14:textId="77777777" w:rsidR="00132E7D" w:rsidRPr="00EA7FD9" w:rsidRDefault="00132E7D" w:rsidP="00F030D3">
            <w:pPr>
              <w:spacing w:before="40" w:after="40" w:line="300" w:lineRule="auto"/>
              <w:jc w:val="left"/>
              <w:rPr>
                <w:rFonts w:ascii="Calibri" w:hAnsi="Calibri" w:cs="Calibri"/>
                <w:color w:val="000000"/>
                <w:lang w:val="hr-HR" w:eastAsia="en-GB"/>
              </w:rPr>
            </w:pPr>
          </w:p>
        </w:tc>
        <w:tc>
          <w:tcPr>
            <w:tcW w:w="1843" w:type="dxa"/>
            <w:noWrap/>
          </w:tcPr>
          <w:p w14:paraId="14379843" w14:textId="77777777" w:rsidR="00132E7D" w:rsidRPr="00EA7FD9" w:rsidRDefault="00132E7D" w:rsidP="00F030D3">
            <w:pPr>
              <w:spacing w:before="40" w:after="40" w:line="300" w:lineRule="auto"/>
              <w:jc w:val="left"/>
              <w:rPr>
                <w:rFonts w:ascii="Times New Roman" w:hAnsi="Times New Roman" w:cs="Times New Roman"/>
                <w:sz w:val="20"/>
                <w:szCs w:val="20"/>
                <w:lang w:val="hr-HR" w:eastAsia="en-GB"/>
              </w:rPr>
            </w:pPr>
          </w:p>
        </w:tc>
        <w:tc>
          <w:tcPr>
            <w:tcW w:w="820" w:type="dxa"/>
            <w:noWrap/>
          </w:tcPr>
          <w:p w14:paraId="33D907CD"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2</w:t>
            </w:r>
          </w:p>
        </w:tc>
        <w:tc>
          <w:tcPr>
            <w:tcW w:w="1873" w:type="dxa"/>
            <w:noWrap/>
          </w:tcPr>
          <w:p w14:paraId="280D0590"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8,31</w:t>
            </w:r>
          </w:p>
        </w:tc>
        <w:tc>
          <w:tcPr>
            <w:tcW w:w="820" w:type="dxa"/>
            <w:noWrap/>
          </w:tcPr>
          <w:p w14:paraId="169B20BC"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2</w:t>
            </w:r>
          </w:p>
        </w:tc>
        <w:tc>
          <w:tcPr>
            <w:tcW w:w="1873" w:type="dxa"/>
            <w:noWrap/>
          </w:tcPr>
          <w:p w14:paraId="58438158"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8,31</w:t>
            </w:r>
          </w:p>
        </w:tc>
      </w:tr>
      <w:tr w:rsidR="00132E7D" w:rsidRPr="00EA7FD9" w14:paraId="33FB0E57" w14:textId="77777777">
        <w:trPr>
          <w:trHeight w:val="300"/>
        </w:trPr>
        <w:tc>
          <w:tcPr>
            <w:tcW w:w="931" w:type="dxa"/>
            <w:noWrap/>
          </w:tcPr>
          <w:p w14:paraId="36A9BD0A" w14:textId="77777777" w:rsidR="00132E7D" w:rsidRPr="00EA7FD9" w:rsidRDefault="00132E7D" w:rsidP="00F030D3">
            <w:pPr>
              <w:spacing w:before="40" w:after="40" w:line="300" w:lineRule="auto"/>
              <w:jc w:val="left"/>
              <w:rPr>
                <w:rFonts w:ascii="Calibri" w:hAnsi="Calibri" w:cs="Calibri"/>
                <w:color w:val="000000"/>
                <w:lang w:val="hr-HR" w:eastAsia="en-GB"/>
              </w:rPr>
            </w:pPr>
            <w:r w:rsidRPr="00EA7FD9">
              <w:rPr>
                <w:rFonts w:ascii="Calibri" w:hAnsi="Calibri" w:cs="Calibri"/>
                <w:color w:val="000000"/>
                <w:lang w:val="hr-HR" w:eastAsia="en-GB"/>
              </w:rPr>
              <w:t>EE</w:t>
            </w:r>
          </w:p>
        </w:tc>
        <w:tc>
          <w:tcPr>
            <w:tcW w:w="907" w:type="dxa"/>
            <w:noWrap/>
          </w:tcPr>
          <w:p w14:paraId="28C5FEBA" w14:textId="77777777" w:rsidR="00132E7D" w:rsidRPr="00EA7FD9" w:rsidRDefault="00132E7D" w:rsidP="00F030D3">
            <w:pPr>
              <w:spacing w:before="40" w:after="40" w:line="300" w:lineRule="auto"/>
              <w:jc w:val="left"/>
              <w:rPr>
                <w:rFonts w:ascii="Calibri" w:hAnsi="Calibri" w:cs="Calibri"/>
                <w:color w:val="000000"/>
                <w:lang w:val="hr-HR" w:eastAsia="en-GB"/>
              </w:rPr>
            </w:pPr>
          </w:p>
        </w:tc>
        <w:tc>
          <w:tcPr>
            <w:tcW w:w="1843" w:type="dxa"/>
            <w:noWrap/>
          </w:tcPr>
          <w:p w14:paraId="4EC9F418" w14:textId="77777777" w:rsidR="00132E7D" w:rsidRPr="00EA7FD9" w:rsidRDefault="00132E7D" w:rsidP="00F030D3">
            <w:pPr>
              <w:spacing w:before="40" w:after="40" w:line="300" w:lineRule="auto"/>
              <w:jc w:val="left"/>
              <w:rPr>
                <w:rFonts w:ascii="Times New Roman" w:hAnsi="Times New Roman" w:cs="Times New Roman"/>
                <w:sz w:val="20"/>
                <w:szCs w:val="20"/>
                <w:lang w:val="hr-HR" w:eastAsia="en-GB"/>
              </w:rPr>
            </w:pPr>
          </w:p>
        </w:tc>
        <w:tc>
          <w:tcPr>
            <w:tcW w:w="820" w:type="dxa"/>
            <w:noWrap/>
          </w:tcPr>
          <w:p w14:paraId="34A62458"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1</w:t>
            </w:r>
          </w:p>
        </w:tc>
        <w:tc>
          <w:tcPr>
            <w:tcW w:w="1873" w:type="dxa"/>
            <w:noWrap/>
          </w:tcPr>
          <w:p w14:paraId="64CD25D3"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49,74</w:t>
            </w:r>
          </w:p>
        </w:tc>
        <w:tc>
          <w:tcPr>
            <w:tcW w:w="820" w:type="dxa"/>
            <w:noWrap/>
          </w:tcPr>
          <w:p w14:paraId="2D30F209"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1</w:t>
            </w:r>
          </w:p>
        </w:tc>
        <w:tc>
          <w:tcPr>
            <w:tcW w:w="1873" w:type="dxa"/>
            <w:noWrap/>
          </w:tcPr>
          <w:p w14:paraId="49C209B4"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49,74</w:t>
            </w:r>
          </w:p>
        </w:tc>
      </w:tr>
      <w:tr w:rsidR="00132E7D" w:rsidRPr="00EA7FD9" w14:paraId="7D0357AD" w14:textId="77777777">
        <w:trPr>
          <w:trHeight w:val="300"/>
        </w:trPr>
        <w:tc>
          <w:tcPr>
            <w:tcW w:w="931" w:type="dxa"/>
            <w:noWrap/>
          </w:tcPr>
          <w:p w14:paraId="4161F22D" w14:textId="77777777" w:rsidR="00132E7D" w:rsidRPr="00EA7FD9" w:rsidRDefault="00132E7D" w:rsidP="00F030D3">
            <w:pPr>
              <w:spacing w:before="40" w:after="40" w:line="300" w:lineRule="auto"/>
              <w:jc w:val="left"/>
              <w:rPr>
                <w:rFonts w:ascii="Calibri" w:hAnsi="Calibri" w:cs="Calibri"/>
                <w:color w:val="000000"/>
                <w:lang w:val="hr-HR" w:eastAsia="en-GB"/>
              </w:rPr>
            </w:pPr>
            <w:r w:rsidRPr="00EA7FD9">
              <w:rPr>
                <w:rFonts w:ascii="Calibri" w:hAnsi="Calibri" w:cs="Calibri"/>
                <w:color w:val="000000"/>
                <w:lang w:val="hr-HR" w:eastAsia="en-GB"/>
              </w:rPr>
              <w:t>EL</w:t>
            </w:r>
          </w:p>
        </w:tc>
        <w:tc>
          <w:tcPr>
            <w:tcW w:w="907" w:type="dxa"/>
            <w:noWrap/>
          </w:tcPr>
          <w:p w14:paraId="659488A1"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6</w:t>
            </w:r>
          </w:p>
        </w:tc>
        <w:tc>
          <w:tcPr>
            <w:tcW w:w="1843" w:type="dxa"/>
            <w:noWrap/>
          </w:tcPr>
          <w:p w14:paraId="0E4A71FE"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258,00</w:t>
            </w:r>
          </w:p>
        </w:tc>
        <w:tc>
          <w:tcPr>
            <w:tcW w:w="820" w:type="dxa"/>
            <w:noWrap/>
          </w:tcPr>
          <w:p w14:paraId="5903C728"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2</w:t>
            </w:r>
          </w:p>
        </w:tc>
        <w:tc>
          <w:tcPr>
            <w:tcW w:w="1873" w:type="dxa"/>
            <w:noWrap/>
          </w:tcPr>
          <w:p w14:paraId="00FC37FB"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241,00</w:t>
            </w:r>
          </w:p>
        </w:tc>
        <w:tc>
          <w:tcPr>
            <w:tcW w:w="820" w:type="dxa"/>
            <w:noWrap/>
          </w:tcPr>
          <w:p w14:paraId="66FC419E"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8</w:t>
            </w:r>
          </w:p>
        </w:tc>
        <w:tc>
          <w:tcPr>
            <w:tcW w:w="1873" w:type="dxa"/>
            <w:noWrap/>
          </w:tcPr>
          <w:p w14:paraId="766E3565"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499,00</w:t>
            </w:r>
          </w:p>
        </w:tc>
      </w:tr>
      <w:tr w:rsidR="00132E7D" w:rsidRPr="00EA7FD9" w14:paraId="57013E8D" w14:textId="77777777">
        <w:trPr>
          <w:trHeight w:val="300"/>
        </w:trPr>
        <w:tc>
          <w:tcPr>
            <w:tcW w:w="931" w:type="dxa"/>
            <w:noWrap/>
          </w:tcPr>
          <w:p w14:paraId="04478EF3" w14:textId="77777777" w:rsidR="00132E7D" w:rsidRPr="00EA7FD9" w:rsidRDefault="00132E7D" w:rsidP="00F030D3">
            <w:pPr>
              <w:spacing w:before="40" w:after="40" w:line="300" w:lineRule="auto"/>
              <w:jc w:val="left"/>
              <w:rPr>
                <w:rFonts w:ascii="Calibri" w:hAnsi="Calibri" w:cs="Calibri"/>
                <w:color w:val="000000"/>
                <w:lang w:val="hr-HR" w:eastAsia="en-GB"/>
              </w:rPr>
            </w:pPr>
            <w:r w:rsidRPr="00EA7FD9">
              <w:rPr>
                <w:rFonts w:ascii="Calibri" w:hAnsi="Calibri" w:cs="Calibri"/>
                <w:color w:val="000000"/>
                <w:lang w:val="hr-HR" w:eastAsia="en-GB"/>
              </w:rPr>
              <w:t>ES</w:t>
            </w:r>
          </w:p>
        </w:tc>
        <w:tc>
          <w:tcPr>
            <w:tcW w:w="907" w:type="dxa"/>
            <w:noWrap/>
          </w:tcPr>
          <w:p w14:paraId="4843A092"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4</w:t>
            </w:r>
          </w:p>
        </w:tc>
        <w:tc>
          <w:tcPr>
            <w:tcW w:w="1843" w:type="dxa"/>
            <w:noWrap/>
          </w:tcPr>
          <w:p w14:paraId="6573E5E4"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215,62</w:t>
            </w:r>
          </w:p>
        </w:tc>
        <w:tc>
          <w:tcPr>
            <w:tcW w:w="820" w:type="dxa"/>
            <w:noWrap/>
          </w:tcPr>
          <w:p w14:paraId="2A474867" w14:textId="77777777" w:rsidR="00132E7D" w:rsidRPr="00EA7FD9" w:rsidRDefault="00132E7D" w:rsidP="00F030D3">
            <w:pPr>
              <w:spacing w:before="40" w:after="40" w:line="300" w:lineRule="auto"/>
              <w:jc w:val="right"/>
              <w:rPr>
                <w:rFonts w:ascii="Calibri" w:hAnsi="Calibri" w:cs="Calibri"/>
                <w:color w:val="000000"/>
                <w:lang w:val="hr-HR" w:eastAsia="en-GB"/>
              </w:rPr>
            </w:pPr>
          </w:p>
        </w:tc>
        <w:tc>
          <w:tcPr>
            <w:tcW w:w="1873" w:type="dxa"/>
            <w:noWrap/>
          </w:tcPr>
          <w:p w14:paraId="0BB15277" w14:textId="77777777" w:rsidR="00132E7D" w:rsidRPr="00EA7FD9" w:rsidRDefault="00132E7D" w:rsidP="00F030D3">
            <w:pPr>
              <w:spacing w:before="40" w:after="40" w:line="300" w:lineRule="auto"/>
              <w:jc w:val="left"/>
              <w:rPr>
                <w:rFonts w:ascii="Times New Roman" w:hAnsi="Times New Roman" w:cs="Times New Roman"/>
                <w:sz w:val="20"/>
                <w:szCs w:val="20"/>
                <w:lang w:val="hr-HR" w:eastAsia="en-GB"/>
              </w:rPr>
            </w:pPr>
          </w:p>
        </w:tc>
        <w:tc>
          <w:tcPr>
            <w:tcW w:w="820" w:type="dxa"/>
            <w:noWrap/>
          </w:tcPr>
          <w:p w14:paraId="2CB557CE"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4</w:t>
            </w:r>
          </w:p>
        </w:tc>
        <w:tc>
          <w:tcPr>
            <w:tcW w:w="1873" w:type="dxa"/>
            <w:noWrap/>
          </w:tcPr>
          <w:p w14:paraId="43F632A2"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215,62</w:t>
            </w:r>
          </w:p>
        </w:tc>
      </w:tr>
      <w:tr w:rsidR="00132E7D" w:rsidRPr="00EA7FD9" w14:paraId="313B9984" w14:textId="77777777">
        <w:trPr>
          <w:trHeight w:val="300"/>
        </w:trPr>
        <w:tc>
          <w:tcPr>
            <w:tcW w:w="931" w:type="dxa"/>
            <w:noWrap/>
          </w:tcPr>
          <w:p w14:paraId="65C98EEC" w14:textId="77777777" w:rsidR="00132E7D" w:rsidRPr="00EA7FD9" w:rsidRDefault="00132E7D" w:rsidP="00F030D3">
            <w:pPr>
              <w:spacing w:before="40" w:after="40" w:line="300" w:lineRule="auto"/>
              <w:jc w:val="left"/>
              <w:rPr>
                <w:rFonts w:ascii="Calibri" w:hAnsi="Calibri" w:cs="Calibri"/>
                <w:color w:val="000000"/>
                <w:lang w:val="hr-HR" w:eastAsia="en-GB"/>
              </w:rPr>
            </w:pPr>
            <w:r w:rsidRPr="00EA7FD9">
              <w:rPr>
                <w:rFonts w:ascii="Calibri" w:hAnsi="Calibri" w:cs="Calibri"/>
                <w:color w:val="000000"/>
                <w:lang w:val="hr-HR" w:eastAsia="en-GB"/>
              </w:rPr>
              <w:t>IT</w:t>
            </w:r>
          </w:p>
        </w:tc>
        <w:tc>
          <w:tcPr>
            <w:tcW w:w="907" w:type="dxa"/>
            <w:noWrap/>
          </w:tcPr>
          <w:p w14:paraId="007CDC90"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5</w:t>
            </w:r>
          </w:p>
        </w:tc>
        <w:tc>
          <w:tcPr>
            <w:tcW w:w="1843" w:type="dxa"/>
            <w:noWrap/>
          </w:tcPr>
          <w:p w14:paraId="51263835"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170,00</w:t>
            </w:r>
          </w:p>
        </w:tc>
        <w:tc>
          <w:tcPr>
            <w:tcW w:w="820" w:type="dxa"/>
            <w:noWrap/>
          </w:tcPr>
          <w:p w14:paraId="4247366D"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6</w:t>
            </w:r>
          </w:p>
        </w:tc>
        <w:tc>
          <w:tcPr>
            <w:tcW w:w="1873" w:type="dxa"/>
            <w:noWrap/>
          </w:tcPr>
          <w:p w14:paraId="40FFCB7D"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93,37</w:t>
            </w:r>
          </w:p>
        </w:tc>
        <w:tc>
          <w:tcPr>
            <w:tcW w:w="820" w:type="dxa"/>
            <w:noWrap/>
          </w:tcPr>
          <w:p w14:paraId="302E56B9"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11</w:t>
            </w:r>
          </w:p>
        </w:tc>
        <w:tc>
          <w:tcPr>
            <w:tcW w:w="1873" w:type="dxa"/>
            <w:noWrap/>
          </w:tcPr>
          <w:p w14:paraId="7CC1C8A7"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263,37</w:t>
            </w:r>
          </w:p>
        </w:tc>
      </w:tr>
      <w:tr w:rsidR="00132E7D" w:rsidRPr="00EA7FD9" w14:paraId="035A6C24" w14:textId="77777777">
        <w:trPr>
          <w:trHeight w:val="300"/>
        </w:trPr>
        <w:tc>
          <w:tcPr>
            <w:tcW w:w="931" w:type="dxa"/>
            <w:noWrap/>
          </w:tcPr>
          <w:p w14:paraId="567D37B1" w14:textId="77777777" w:rsidR="00132E7D" w:rsidRPr="00EA7FD9" w:rsidRDefault="00132E7D" w:rsidP="00F030D3">
            <w:pPr>
              <w:spacing w:before="40" w:after="40" w:line="300" w:lineRule="auto"/>
              <w:jc w:val="left"/>
              <w:rPr>
                <w:rFonts w:ascii="Calibri" w:hAnsi="Calibri" w:cs="Calibri"/>
                <w:color w:val="000000"/>
                <w:lang w:val="hr-HR" w:eastAsia="en-GB"/>
              </w:rPr>
            </w:pPr>
            <w:r w:rsidRPr="00EA7FD9">
              <w:rPr>
                <w:rFonts w:ascii="Calibri" w:hAnsi="Calibri" w:cs="Calibri"/>
                <w:color w:val="000000"/>
                <w:lang w:val="hr-HR" w:eastAsia="en-GB"/>
              </w:rPr>
              <w:t>LT</w:t>
            </w:r>
          </w:p>
        </w:tc>
        <w:tc>
          <w:tcPr>
            <w:tcW w:w="907" w:type="dxa"/>
            <w:noWrap/>
          </w:tcPr>
          <w:p w14:paraId="1CCE59DE"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5</w:t>
            </w:r>
          </w:p>
        </w:tc>
        <w:tc>
          <w:tcPr>
            <w:tcW w:w="1843" w:type="dxa"/>
            <w:noWrap/>
          </w:tcPr>
          <w:p w14:paraId="335A67F3"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149,41</w:t>
            </w:r>
          </w:p>
        </w:tc>
        <w:tc>
          <w:tcPr>
            <w:tcW w:w="820" w:type="dxa"/>
            <w:noWrap/>
          </w:tcPr>
          <w:p w14:paraId="2E52A800" w14:textId="77777777" w:rsidR="00132E7D" w:rsidRPr="00EA7FD9" w:rsidRDefault="00132E7D" w:rsidP="00F030D3">
            <w:pPr>
              <w:spacing w:before="40" w:after="40" w:line="300" w:lineRule="auto"/>
              <w:jc w:val="right"/>
              <w:rPr>
                <w:rFonts w:ascii="Calibri" w:hAnsi="Calibri" w:cs="Calibri"/>
                <w:color w:val="000000"/>
                <w:lang w:val="hr-HR" w:eastAsia="en-GB"/>
              </w:rPr>
            </w:pPr>
          </w:p>
        </w:tc>
        <w:tc>
          <w:tcPr>
            <w:tcW w:w="1873" w:type="dxa"/>
            <w:noWrap/>
          </w:tcPr>
          <w:p w14:paraId="3403CFDB" w14:textId="77777777" w:rsidR="00132E7D" w:rsidRPr="00EA7FD9" w:rsidRDefault="00132E7D" w:rsidP="00F030D3">
            <w:pPr>
              <w:spacing w:before="40" w:after="40" w:line="300" w:lineRule="auto"/>
              <w:jc w:val="left"/>
              <w:rPr>
                <w:rFonts w:ascii="Times New Roman" w:hAnsi="Times New Roman" w:cs="Times New Roman"/>
                <w:sz w:val="20"/>
                <w:szCs w:val="20"/>
                <w:lang w:val="hr-HR" w:eastAsia="en-GB"/>
              </w:rPr>
            </w:pPr>
          </w:p>
        </w:tc>
        <w:tc>
          <w:tcPr>
            <w:tcW w:w="820" w:type="dxa"/>
            <w:noWrap/>
          </w:tcPr>
          <w:p w14:paraId="1149E5D2"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5</w:t>
            </w:r>
          </w:p>
        </w:tc>
        <w:tc>
          <w:tcPr>
            <w:tcW w:w="1873" w:type="dxa"/>
            <w:noWrap/>
          </w:tcPr>
          <w:p w14:paraId="5B0253EC"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149,41</w:t>
            </w:r>
          </w:p>
        </w:tc>
      </w:tr>
      <w:tr w:rsidR="00132E7D" w:rsidRPr="00EA7FD9" w14:paraId="3175C048" w14:textId="77777777">
        <w:trPr>
          <w:trHeight w:val="300"/>
        </w:trPr>
        <w:tc>
          <w:tcPr>
            <w:tcW w:w="931" w:type="dxa"/>
            <w:noWrap/>
          </w:tcPr>
          <w:p w14:paraId="3EF347AB" w14:textId="77777777" w:rsidR="00132E7D" w:rsidRPr="00EA7FD9" w:rsidRDefault="00132E7D" w:rsidP="00F030D3">
            <w:pPr>
              <w:spacing w:before="40" w:after="40" w:line="300" w:lineRule="auto"/>
              <w:jc w:val="left"/>
              <w:rPr>
                <w:rFonts w:ascii="Calibri" w:hAnsi="Calibri" w:cs="Calibri"/>
                <w:color w:val="000000"/>
                <w:lang w:val="hr-HR" w:eastAsia="en-GB"/>
              </w:rPr>
            </w:pPr>
            <w:r w:rsidRPr="00EA7FD9">
              <w:rPr>
                <w:rFonts w:ascii="Calibri" w:hAnsi="Calibri" w:cs="Calibri"/>
                <w:color w:val="000000"/>
                <w:lang w:val="hr-HR" w:eastAsia="en-GB"/>
              </w:rPr>
              <w:t>NL</w:t>
            </w:r>
          </w:p>
        </w:tc>
        <w:tc>
          <w:tcPr>
            <w:tcW w:w="907" w:type="dxa"/>
            <w:noWrap/>
          </w:tcPr>
          <w:p w14:paraId="16113381"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2</w:t>
            </w:r>
          </w:p>
        </w:tc>
        <w:tc>
          <w:tcPr>
            <w:tcW w:w="1843" w:type="dxa"/>
            <w:noWrap/>
          </w:tcPr>
          <w:p w14:paraId="2CF1A12C"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0,00</w:t>
            </w:r>
          </w:p>
        </w:tc>
        <w:tc>
          <w:tcPr>
            <w:tcW w:w="820" w:type="dxa"/>
            <w:noWrap/>
          </w:tcPr>
          <w:p w14:paraId="4CC0EF7F"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1</w:t>
            </w:r>
          </w:p>
        </w:tc>
        <w:tc>
          <w:tcPr>
            <w:tcW w:w="1873" w:type="dxa"/>
            <w:noWrap/>
          </w:tcPr>
          <w:p w14:paraId="20B0C52A"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0,00</w:t>
            </w:r>
          </w:p>
        </w:tc>
        <w:tc>
          <w:tcPr>
            <w:tcW w:w="820" w:type="dxa"/>
            <w:noWrap/>
          </w:tcPr>
          <w:p w14:paraId="3888908F"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3</w:t>
            </w:r>
          </w:p>
        </w:tc>
        <w:tc>
          <w:tcPr>
            <w:tcW w:w="1873" w:type="dxa"/>
            <w:noWrap/>
          </w:tcPr>
          <w:p w14:paraId="6A1E8F8B"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0,00</w:t>
            </w:r>
          </w:p>
        </w:tc>
      </w:tr>
      <w:tr w:rsidR="00132E7D" w:rsidRPr="00EA7FD9" w14:paraId="1E8B5D89" w14:textId="77777777">
        <w:trPr>
          <w:trHeight w:val="300"/>
        </w:trPr>
        <w:tc>
          <w:tcPr>
            <w:tcW w:w="931" w:type="dxa"/>
            <w:noWrap/>
          </w:tcPr>
          <w:p w14:paraId="0D5E5C82" w14:textId="77777777" w:rsidR="00132E7D" w:rsidRPr="00EA7FD9" w:rsidRDefault="00132E7D" w:rsidP="00F030D3">
            <w:pPr>
              <w:spacing w:before="40" w:after="40" w:line="300" w:lineRule="auto"/>
              <w:jc w:val="left"/>
              <w:rPr>
                <w:rFonts w:ascii="Calibri" w:hAnsi="Calibri" w:cs="Calibri"/>
                <w:color w:val="000000"/>
                <w:lang w:val="hr-HR" w:eastAsia="en-GB"/>
              </w:rPr>
            </w:pPr>
            <w:r w:rsidRPr="00EA7FD9">
              <w:rPr>
                <w:rFonts w:ascii="Calibri" w:hAnsi="Calibri" w:cs="Calibri"/>
                <w:color w:val="000000"/>
                <w:lang w:val="hr-HR" w:eastAsia="en-GB"/>
              </w:rPr>
              <w:t>PL</w:t>
            </w:r>
          </w:p>
        </w:tc>
        <w:tc>
          <w:tcPr>
            <w:tcW w:w="907" w:type="dxa"/>
            <w:noWrap/>
          </w:tcPr>
          <w:p w14:paraId="780F8C3D"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12</w:t>
            </w:r>
          </w:p>
        </w:tc>
        <w:tc>
          <w:tcPr>
            <w:tcW w:w="1843" w:type="dxa"/>
            <w:noWrap/>
          </w:tcPr>
          <w:p w14:paraId="0783F607"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259,85</w:t>
            </w:r>
          </w:p>
        </w:tc>
        <w:tc>
          <w:tcPr>
            <w:tcW w:w="820" w:type="dxa"/>
            <w:noWrap/>
          </w:tcPr>
          <w:p w14:paraId="6C821360" w14:textId="77777777" w:rsidR="00132E7D" w:rsidRPr="00EA7FD9" w:rsidRDefault="00132E7D" w:rsidP="00F030D3">
            <w:pPr>
              <w:spacing w:before="40" w:after="40" w:line="300" w:lineRule="auto"/>
              <w:jc w:val="right"/>
              <w:rPr>
                <w:rFonts w:ascii="Calibri" w:hAnsi="Calibri" w:cs="Calibri"/>
                <w:color w:val="000000"/>
                <w:lang w:val="hr-HR" w:eastAsia="en-GB"/>
              </w:rPr>
            </w:pPr>
          </w:p>
        </w:tc>
        <w:tc>
          <w:tcPr>
            <w:tcW w:w="1873" w:type="dxa"/>
            <w:noWrap/>
          </w:tcPr>
          <w:p w14:paraId="552E49DA" w14:textId="77777777" w:rsidR="00132E7D" w:rsidRPr="00EA7FD9" w:rsidRDefault="00132E7D" w:rsidP="00F030D3">
            <w:pPr>
              <w:spacing w:before="40" w:after="40" w:line="300" w:lineRule="auto"/>
              <w:jc w:val="left"/>
              <w:rPr>
                <w:rFonts w:ascii="Times New Roman" w:hAnsi="Times New Roman" w:cs="Times New Roman"/>
                <w:sz w:val="20"/>
                <w:szCs w:val="20"/>
                <w:lang w:val="hr-HR" w:eastAsia="en-GB"/>
              </w:rPr>
            </w:pPr>
          </w:p>
        </w:tc>
        <w:tc>
          <w:tcPr>
            <w:tcW w:w="820" w:type="dxa"/>
            <w:noWrap/>
          </w:tcPr>
          <w:p w14:paraId="6BD41353"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12</w:t>
            </w:r>
          </w:p>
        </w:tc>
        <w:tc>
          <w:tcPr>
            <w:tcW w:w="1873" w:type="dxa"/>
            <w:noWrap/>
          </w:tcPr>
          <w:p w14:paraId="41F63CE8"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259,85</w:t>
            </w:r>
          </w:p>
        </w:tc>
      </w:tr>
      <w:tr w:rsidR="00132E7D" w:rsidRPr="00EA7FD9" w14:paraId="6E12F2F6" w14:textId="77777777">
        <w:trPr>
          <w:trHeight w:val="300"/>
        </w:trPr>
        <w:tc>
          <w:tcPr>
            <w:tcW w:w="931" w:type="dxa"/>
            <w:noWrap/>
          </w:tcPr>
          <w:p w14:paraId="63900EA9" w14:textId="77777777" w:rsidR="00132E7D" w:rsidRPr="00EA7FD9" w:rsidRDefault="00132E7D" w:rsidP="00F030D3">
            <w:pPr>
              <w:spacing w:before="40" w:after="40" w:line="300" w:lineRule="auto"/>
              <w:jc w:val="left"/>
              <w:rPr>
                <w:rFonts w:ascii="Calibri" w:hAnsi="Calibri" w:cs="Calibri"/>
                <w:color w:val="000000"/>
                <w:lang w:val="hr-HR" w:eastAsia="en-GB"/>
              </w:rPr>
            </w:pPr>
            <w:r w:rsidRPr="00EA7FD9">
              <w:rPr>
                <w:rFonts w:ascii="Calibri" w:hAnsi="Calibri" w:cs="Calibri"/>
                <w:color w:val="000000"/>
                <w:lang w:val="hr-HR" w:eastAsia="en-GB"/>
              </w:rPr>
              <w:t>PT</w:t>
            </w:r>
          </w:p>
        </w:tc>
        <w:tc>
          <w:tcPr>
            <w:tcW w:w="907" w:type="dxa"/>
            <w:noWrap/>
          </w:tcPr>
          <w:p w14:paraId="288F4496"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4</w:t>
            </w:r>
          </w:p>
        </w:tc>
        <w:tc>
          <w:tcPr>
            <w:tcW w:w="1843" w:type="dxa"/>
            <w:noWrap/>
          </w:tcPr>
          <w:p w14:paraId="1B46E425"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130,00</w:t>
            </w:r>
          </w:p>
        </w:tc>
        <w:tc>
          <w:tcPr>
            <w:tcW w:w="820" w:type="dxa"/>
            <w:noWrap/>
          </w:tcPr>
          <w:p w14:paraId="09AB1505" w14:textId="77777777" w:rsidR="00132E7D" w:rsidRPr="00EA7FD9" w:rsidRDefault="00132E7D" w:rsidP="00F030D3">
            <w:pPr>
              <w:spacing w:before="40" w:after="40" w:line="300" w:lineRule="auto"/>
              <w:jc w:val="right"/>
              <w:rPr>
                <w:rFonts w:ascii="Calibri" w:hAnsi="Calibri" w:cs="Calibri"/>
                <w:color w:val="000000"/>
                <w:lang w:val="hr-HR" w:eastAsia="en-GB"/>
              </w:rPr>
            </w:pPr>
          </w:p>
        </w:tc>
        <w:tc>
          <w:tcPr>
            <w:tcW w:w="1873" w:type="dxa"/>
            <w:noWrap/>
          </w:tcPr>
          <w:p w14:paraId="03520F6D" w14:textId="77777777" w:rsidR="00132E7D" w:rsidRPr="00EA7FD9" w:rsidRDefault="00132E7D" w:rsidP="00F030D3">
            <w:pPr>
              <w:spacing w:before="40" w:after="40" w:line="300" w:lineRule="auto"/>
              <w:jc w:val="left"/>
              <w:rPr>
                <w:rFonts w:ascii="Times New Roman" w:hAnsi="Times New Roman" w:cs="Times New Roman"/>
                <w:sz w:val="20"/>
                <w:szCs w:val="20"/>
                <w:lang w:val="hr-HR" w:eastAsia="en-GB"/>
              </w:rPr>
            </w:pPr>
          </w:p>
        </w:tc>
        <w:tc>
          <w:tcPr>
            <w:tcW w:w="820" w:type="dxa"/>
            <w:noWrap/>
          </w:tcPr>
          <w:p w14:paraId="7E267B52"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4</w:t>
            </w:r>
          </w:p>
        </w:tc>
        <w:tc>
          <w:tcPr>
            <w:tcW w:w="1873" w:type="dxa"/>
            <w:noWrap/>
          </w:tcPr>
          <w:p w14:paraId="2555F7DF"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130,00</w:t>
            </w:r>
          </w:p>
        </w:tc>
      </w:tr>
      <w:tr w:rsidR="00132E7D" w:rsidRPr="00EA7FD9" w14:paraId="2066B79C" w14:textId="77777777">
        <w:trPr>
          <w:trHeight w:val="300"/>
        </w:trPr>
        <w:tc>
          <w:tcPr>
            <w:tcW w:w="931" w:type="dxa"/>
            <w:noWrap/>
          </w:tcPr>
          <w:p w14:paraId="67FFB61C" w14:textId="77777777" w:rsidR="00132E7D" w:rsidRPr="00EA7FD9" w:rsidRDefault="00132E7D" w:rsidP="00F030D3">
            <w:pPr>
              <w:spacing w:before="40" w:after="40" w:line="300" w:lineRule="auto"/>
              <w:jc w:val="left"/>
              <w:rPr>
                <w:rFonts w:ascii="Calibri" w:hAnsi="Calibri" w:cs="Calibri"/>
                <w:color w:val="000000"/>
                <w:lang w:val="hr-HR" w:eastAsia="en-GB"/>
              </w:rPr>
            </w:pPr>
            <w:r w:rsidRPr="00EA7FD9">
              <w:rPr>
                <w:rFonts w:ascii="Calibri" w:hAnsi="Calibri" w:cs="Calibri"/>
                <w:color w:val="000000"/>
                <w:lang w:val="hr-HR" w:eastAsia="en-GB"/>
              </w:rPr>
              <w:t>UK</w:t>
            </w:r>
          </w:p>
        </w:tc>
        <w:tc>
          <w:tcPr>
            <w:tcW w:w="907" w:type="dxa"/>
            <w:noWrap/>
          </w:tcPr>
          <w:p w14:paraId="57FA3BFE"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11</w:t>
            </w:r>
          </w:p>
        </w:tc>
        <w:tc>
          <w:tcPr>
            <w:tcW w:w="1843" w:type="dxa"/>
            <w:noWrap/>
          </w:tcPr>
          <w:p w14:paraId="35DC67B9"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372,65</w:t>
            </w:r>
          </w:p>
        </w:tc>
        <w:tc>
          <w:tcPr>
            <w:tcW w:w="820" w:type="dxa"/>
            <w:noWrap/>
          </w:tcPr>
          <w:p w14:paraId="638405FD"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6</w:t>
            </w:r>
          </w:p>
        </w:tc>
        <w:tc>
          <w:tcPr>
            <w:tcW w:w="1873" w:type="dxa"/>
            <w:noWrap/>
          </w:tcPr>
          <w:p w14:paraId="5AE69652"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20,83</w:t>
            </w:r>
          </w:p>
        </w:tc>
        <w:tc>
          <w:tcPr>
            <w:tcW w:w="820" w:type="dxa"/>
            <w:noWrap/>
          </w:tcPr>
          <w:p w14:paraId="5B21B8B4"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17</w:t>
            </w:r>
          </w:p>
        </w:tc>
        <w:tc>
          <w:tcPr>
            <w:tcW w:w="1873" w:type="dxa"/>
            <w:noWrap/>
          </w:tcPr>
          <w:p w14:paraId="37B7C754"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393,48</w:t>
            </w:r>
          </w:p>
        </w:tc>
      </w:tr>
      <w:tr w:rsidR="00132E7D" w:rsidRPr="00EA7FD9" w14:paraId="62397EC3" w14:textId="77777777">
        <w:trPr>
          <w:trHeight w:val="300"/>
        </w:trPr>
        <w:tc>
          <w:tcPr>
            <w:tcW w:w="931" w:type="dxa"/>
            <w:noWrap/>
          </w:tcPr>
          <w:p w14:paraId="1F9EAA33" w14:textId="77777777" w:rsidR="00132E7D" w:rsidRPr="00EA7FD9" w:rsidRDefault="00132E7D" w:rsidP="00F030D3">
            <w:pPr>
              <w:spacing w:before="40" w:after="40" w:line="300" w:lineRule="auto"/>
              <w:jc w:val="right"/>
              <w:rPr>
                <w:rFonts w:ascii="Calibri" w:hAnsi="Calibri" w:cs="Calibri"/>
                <w:color w:val="000000"/>
                <w:lang w:val="hr-HR" w:eastAsia="en-GB"/>
              </w:rPr>
            </w:pPr>
          </w:p>
        </w:tc>
        <w:tc>
          <w:tcPr>
            <w:tcW w:w="907" w:type="dxa"/>
            <w:noWrap/>
          </w:tcPr>
          <w:p w14:paraId="24F427CB"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56</w:t>
            </w:r>
          </w:p>
        </w:tc>
        <w:tc>
          <w:tcPr>
            <w:tcW w:w="1843" w:type="dxa"/>
            <w:noWrap/>
          </w:tcPr>
          <w:p w14:paraId="45A7523D"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1641,89</w:t>
            </w:r>
          </w:p>
        </w:tc>
        <w:tc>
          <w:tcPr>
            <w:tcW w:w="820" w:type="dxa"/>
            <w:noWrap/>
          </w:tcPr>
          <w:p w14:paraId="3F0AD08B"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20</w:t>
            </w:r>
          </w:p>
        </w:tc>
        <w:tc>
          <w:tcPr>
            <w:tcW w:w="1873" w:type="dxa"/>
            <w:noWrap/>
          </w:tcPr>
          <w:p w14:paraId="1CEF2AEE"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444,1</w:t>
            </w:r>
          </w:p>
        </w:tc>
        <w:tc>
          <w:tcPr>
            <w:tcW w:w="820" w:type="dxa"/>
            <w:noWrap/>
          </w:tcPr>
          <w:p w14:paraId="1E4EBC69"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76</w:t>
            </w:r>
          </w:p>
        </w:tc>
        <w:tc>
          <w:tcPr>
            <w:tcW w:w="1873" w:type="dxa"/>
            <w:noWrap/>
          </w:tcPr>
          <w:p w14:paraId="4D9EDAB7" w14:textId="77777777" w:rsidR="00132E7D" w:rsidRPr="00EA7FD9" w:rsidRDefault="00132E7D" w:rsidP="00F030D3">
            <w:pPr>
              <w:spacing w:before="40" w:after="40" w:line="300" w:lineRule="auto"/>
              <w:jc w:val="right"/>
              <w:rPr>
                <w:rFonts w:ascii="Calibri" w:hAnsi="Calibri" w:cs="Calibri"/>
                <w:color w:val="000000"/>
                <w:lang w:val="hr-HR" w:eastAsia="en-GB"/>
              </w:rPr>
            </w:pPr>
            <w:r w:rsidRPr="00EA7FD9">
              <w:rPr>
                <w:rFonts w:ascii="Calibri" w:hAnsi="Calibri" w:cs="Calibri"/>
                <w:color w:val="000000"/>
                <w:lang w:val="hr-HR" w:eastAsia="en-GB"/>
              </w:rPr>
              <w:t>2085,99</w:t>
            </w:r>
          </w:p>
        </w:tc>
      </w:tr>
      <w:tr w:rsidR="00132E7D" w:rsidRPr="00132E7D" w14:paraId="4D9E21DA" w14:textId="77777777">
        <w:trPr>
          <w:trHeight w:val="300"/>
        </w:trPr>
        <w:tc>
          <w:tcPr>
            <w:tcW w:w="9067" w:type="dxa"/>
            <w:gridSpan w:val="7"/>
            <w:noWrap/>
          </w:tcPr>
          <w:p w14:paraId="52C0E857" w14:textId="77777777" w:rsidR="00132E7D" w:rsidRPr="00EA7FD9" w:rsidRDefault="00132E7D" w:rsidP="00F030D3">
            <w:pPr>
              <w:spacing w:before="40" w:after="40" w:line="300" w:lineRule="auto"/>
              <w:rPr>
                <w:rFonts w:ascii="Calibri" w:hAnsi="Calibri" w:cs="Calibri"/>
                <w:sz w:val="20"/>
                <w:szCs w:val="20"/>
                <w:lang w:val="hr-HR"/>
              </w:rPr>
            </w:pPr>
            <w:r w:rsidRPr="00EA7FD9">
              <w:rPr>
                <w:rFonts w:ascii="Calibri" w:hAnsi="Calibri" w:cs="Calibri"/>
                <w:sz w:val="20"/>
                <w:szCs w:val="20"/>
                <w:lang w:val="hr-HR"/>
              </w:rPr>
              <w:t>Izvor: DGs REGIO i EMPL 2013.</w:t>
            </w:r>
          </w:p>
        </w:tc>
      </w:tr>
    </w:tbl>
    <w:p w14:paraId="468596A4" w14:textId="77777777" w:rsidR="00132E7D" w:rsidRPr="00EA7FD9" w:rsidRDefault="00132E7D" w:rsidP="00F030D3">
      <w:pPr>
        <w:spacing w:before="40" w:after="40" w:line="300" w:lineRule="auto"/>
        <w:rPr>
          <w:rFonts w:ascii="Calibri" w:hAnsi="Calibri" w:cs="Calibri"/>
          <w:lang w:val="hr-HR"/>
        </w:rPr>
      </w:pPr>
    </w:p>
    <w:p w14:paraId="0DF0E161" w14:textId="77777777" w:rsidR="00132E7D" w:rsidRPr="00EA7FD9" w:rsidRDefault="00132E7D" w:rsidP="00F030D3">
      <w:pPr>
        <w:spacing w:before="40" w:after="40" w:line="300" w:lineRule="auto"/>
        <w:rPr>
          <w:rFonts w:ascii="Calibri" w:hAnsi="Calibri" w:cs="Calibri"/>
          <w:lang w:val="hr-HR"/>
        </w:rPr>
      </w:pPr>
      <w:r w:rsidRPr="00EA7FD9">
        <w:rPr>
          <w:rFonts w:ascii="Calibri" w:hAnsi="Calibri" w:cs="Calibri"/>
          <w:lang w:val="hr-HR"/>
        </w:rPr>
        <w:t xml:space="preserve">Iako su </w:t>
      </w:r>
      <w:r>
        <w:rPr>
          <w:rFonts w:ascii="Calibri" w:hAnsi="Calibri" w:cs="Calibri"/>
          <w:lang w:val="hr-HR"/>
        </w:rPr>
        <w:t xml:space="preserve">studije procjene </w:t>
      </w:r>
      <w:r w:rsidRPr="00EA7FD9">
        <w:rPr>
          <w:rFonts w:ascii="Calibri" w:hAnsi="Calibri" w:cs="Calibri"/>
          <w:lang w:val="hr-HR"/>
        </w:rPr>
        <w:t>JESSICA</w:t>
      </w:r>
      <w:r>
        <w:rPr>
          <w:rFonts w:ascii="Calibri" w:hAnsi="Calibri" w:cs="Calibri"/>
          <w:lang w:val="hr-HR"/>
        </w:rPr>
        <w:t>-e</w:t>
      </w:r>
      <w:r w:rsidRPr="00EA7FD9">
        <w:rPr>
          <w:rFonts w:ascii="Calibri" w:hAnsi="Calibri" w:cs="Calibri"/>
          <w:lang w:val="hr-HR"/>
        </w:rPr>
        <w:t xml:space="preserve"> provedene u 23 države članice, prema izvješću Europske komisije</w:t>
      </w:r>
      <w:r>
        <w:rPr>
          <w:rFonts w:ascii="Calibri" w:hAnsi="Calibri" w:cs="Calibri"/>
          <w:lang w:val="hr-HR"/>
        </w:rPr>
        <w:t xml:space="preserve"> objavljenom krajem </w:t>
      </w:r>
      <w:r w:rsidRPr="00EA7FD9">
        <w:rPr>
          <w:rFonts w:ascii="Calibri" w:hAnsi="Calibri" w:cs="Calibri"/>
          <w:lang w:val="hr-HR"/>
        </w:rPr>
        <w:t xml:space="preserve">2013. </w:t>
      </w:r>
      <w:r>
        <w:rPr>
          <w:rFonts w:ascii="Calibri" w:hAnsi="Calibri" w:cs="Calibri"/>
          <w:lang w:val="hr-HR"/>
        </w:rPr>
        <w:t xml:space="preserve">godine instrumenti financijskog inženjeringa vezanih uz urbani razvoj i </w:t>
      </w:r>
      <w:r>
        <w:rPr>
          <w:rFonts w:ascii="Calibri" w:hAnsi="Calibri" w:cs="Calibri"/>
          <w:lang w:val="hr-HR"/>
        </w:rPr>
        <w:lastRenderedPageBreak/>
        <w:t>energetsku učinkovitost bili su aktivni u samo</w:t>
      </w:r>
      <w:r w:rsidRPr="00EA7FD9">
        <w:rPr>
          <w:rFonts w:ascii="Calibri" w:hAnsi="Calibri" w:cs="Calibri"/>
          <w:lang w:val="hr-HR"/>
        </w:rPr>
        <w:t xml:space="preserve"> 13 država članica, od kojih </w:t>
      </w:r>
      <w:r>
        <w:rPr>
          <w:rFonts w:ascii="Calibri" w:hAnsi="Calibri" w:cs="Calibri"/>
          <w:lang w:val="hr-HR"/>
        </w:rPr>
        <w:t>je</w:t>
      </w:r>
      <w:r w:rsidRPr="00EA7FD9">
        <w:rPr>
          <w:rFonts w:ascii="Calibri" w:hAnsi="Calibri" w:cs="Calibri"/>
          <w:lang w:val="hr-HR"/>
        </w:rPr>
        <w:t xml:space="preserve"> </w:t>
      </w:r>
      <w:r>
        <w:rPr>
          <w:rFonts w:ascii="Calibri" w:hAnsi="Calibri" w:cs="Calibri"/>
          <w:lang w:val="hr-HR"/>
        </w:rPr>
        <w:t>pet postalo članicama</w:t>
      </w:r>
      <w:r w:rsidRPr="00EA7FD9">
        <w:rPr>
          <w:rFonts w:ascii="Calibri" w:hAnsi="Calibri" w:cs="Calibri"/>
          <w:lang w:val="hr-HR"/>
        </w:rPr>
        <w:t xml:space="preserve"> EU-a nakon 2004.</w:t>
      </w:r>
      <w:r>
        <w:rPr>
          <w:rFonts w:ascii="Calibri" w:hAnsi="Calibri" w:cs="Calibri"/>
          <w:lang w:val="hr-HR"/>
        </w:rPr>
        <w:t xml:space="preserve"> godine.</w:t>
      </w:r>
    </w:p>
    <w:p w14:paraId="6D030ADF" w14:textId="77777777" w:rsidR="00132E7D" w:rsidRPr="00EA7FD9" w:rsidRDefault="00132E7D" w:rsidP="00F030D3">
      <w:pPr>
        <w:spacing w:before="40" w:after="40" w:line="300" w:lineRule="auto"/>
        <w:rPr>
          <w:rFonts w:ascii="Calibri" w:hAnsi="Calibri" w:cs="Calibri"/>
          <w:lang w:val="hr-HR"/>
        </w:rPr>
      </w:pPr>
      <w:r>
        <w:rPr>
          <w:rFonts w:ascii="Calibri" w:hAnsi="Calibri" w:cs="Calibri"/>
          <w:lang w:val="hr-HR"/>
        </w:rPr>
        <w:t>Prosječni doprinos</w:t>
      </w:r>
      <w:r w:rsidRPr="00EA7FD9">
        <w:rPr>
          <w:rFonts w:ascii="Calibri" w:hAnsi="Calibri" w:cs="Calibri"/>
          <w:lang w:val="hr-HR"/>
        </w:rPr>
        <w:t xml:space="preserve"> OP</w:t>
      </w:r>
      <w:r>
        <w:rPr>
          <w:rFonts w:ascii="Calibri" w:hAnsi="Calibri" w:cs="Calibri"/>
          <w:lang w:val="hr-HR"/>
        </w:rPr>
        <w:t xml:space="preserve">-a po instrumentu financijskog </w:t>
      </w:r>
      <w:r w:rsidRPr="002D3469">
        <w:rPr>
          <w:rFonts w:ascii="Calibri" w:hAnsi="Calibri" w:cs="Calibri"/>
          <w:lang w:val="hr-HR"/>
        </w:rPr>
        <w:t xml:space="preserve">inženjeringa </w:t>
      </w:r>
      <w:r w:rsidRPr="0085316F">
        <w:rPr>
          <w:rFonts w:ascii="Calibri" w:hAnsi="Calibri" w:cs="Calibri"/>
          <w:lang w:val="hr-HR"/>
        </w:rPr>
        <w:t>je oko 27</w:t>
      </w:r>
      <w:r>
        <w:rPr>
          <w:rFonts w:ascii="Calibri" w:hAnsi="Calibri" w:cs="Calibri"/>
          <w:lang w:val="hr-HR"/>
        </w:rPr>
        <w:t xml:space="preserve"> milijuna eura</w:t>
      </w:r>
      <w:r w:rsidRPr="00EA7FD9">
        <w:rPr>
          <w:rFonts w:ascii="Calibri" w:hAnsi="Calibri" w:cs="Calibri"/>
          <w:lang w:val="hr-HR"/>
        </w:rPr>
        <w:t xml:space="preserve"> (29</w:t>
      </w:r>
      <w:r>
        <w:rPr>
          <w:rFonts w:ascii="Calibri" w:hAnsi="Calibri" w:cs="Calibri"/>
          <w:lang w:val="hr-HR"/>
        </w:rPr>
        <w:t xml:space="preserve"> </w:t>
      </w:r>
      <w:r w:rsidRPr="00EA7FD9">
        <w:rPr>
          <w:rFonts w:ascii="Calibri" w:hAnsi="Calibri" w:cs="Calibri"/>
          <w:lang w:val="hr-HR"/>
        </w:rPr>
        <w:t>m</w:t>
      </w:r>
      <w:r>
        <w:rPr>
          <w:rFonts w:ascii="Calibri" w:hAnsi="Calibri" w:cs="Calibri"/>
          <w:lang w:val="hr-HR"/>
        </w:rPr>
        <w:t>ilijuna eura</w:t>
      </w:r>
      <w:r w:rsidRPr="00EA7FD9">
        <w:rPr>
          <w:rFonts w:ascii="Calibri" w:hAnsi="Calibri" w:cs="Calibri"/>
          <w:lang w:val="hr-HR"/>
        </w:rPr>
        <w:t xml:space="preserve"> za </w:t>
      </w:r>
      <w:r>
        <w:rPr>
          <w:rFonts w:ascii="Calibri" w:hAnsi="Calibri" w:cs="Calibri"/>
          <w:lang w:val="hr-HR"/>
        </w:rPr>
        <w:t>instrumente namijenjene urbanom</w:t>
      </w:r>
      <w:r w:rsidRPr="00EA7FD9">
        <w:rPr>
          <w:rFonts w:ascii="Calibri" w:hAnsi="Calibri" w:cs="Calibri"/>
          <w:lang w:val="hr-HR"/>
        </w:rPr>
        <w:t xml:space="preserve"> razvoj</w:t>
      </w:r>
      <w:r>
        <w:rPr>
          <w:rFonts w:ascii="Calibri" w:hAnsi="Calibri" w:cs="Calibri"/>
          <w:lang w:val="hr-HR"/>
        </w:rPr>
        <w:t xml:space="preserve">u te </w:t>
      </w:r>
      <w:r w:rsidRPr="00EA7FD9">
        <w:rPr>
          <w:rFonts w:ascii="Calibri" w:hAnsi="Calibri" w:cs="Calibri"/>
          <w:lang w:val="hr-HR"/>
        </w:rPr>
        <w:t>22</w:t>
      </w:r>
      <w:r>
        <w:rPr>
          <w:rFonts w:ascii="Calibri" w:hAnsi="Calibri" w:cs="Calibri"/>
          <w:lang w:val="hr-HR"/>
        </w:rPr>
        <w:t xml:space="preserve"> </w:t>
      </w:r>
      <w:r w:rsidRPr="00EA7FD9">
        <w:rPr>
          <w:rFonts w:ascii="Calibri" w:hAnsi="Calibri" w:cs="Calibri"/>
          <w:lang w:val="hr-HR"/>
        </w:rPr>
        <w:t>m</w:t>
      </w:r>
      <w:r>
        <w:rPr>
          <w:rFonts w:ascii="Calibri" w:hAnsi="Calibri" w:cs="Calibri"/>
          <w:lang w:val="hr-HR"/>
        </w:rPr>
        <w:t>ilijuna eura</w:t>
      </w:r>
      <w:r w:rsidRPr="00EA7FD9">
        <w:rPr>
          <w:rFonts w:ascii="Calibri" w:hAnsi="Calibri" w:cs="Calibri"/>
          <w:lang w:val="hr-HR"/>
        </w:rPr>
        <w:t xml:space="preserve"> za fondove </w:t>
      </w:r>
      <w:r>
        <w:rPr>
          <w:rFonts w:ascii="Calibri" w:hAnsi="Calibri" w:cs="Calibri"/>
          <w:lang w:val="hr-HR"/>
        </w:rPr>
        <w:t>za energetsku učinkovitost/obnovljive izvore</w:t>
      </w:r>
      <w:r w:rsidRPr="00EA7FD9">
        <w:rPr>
          <w:rFonts w:ascii="Calibri" w:hAnsi="Calibri" w:cs="Calibri"/>
          <w:lang w:val="hr-HR"/>
        </w:rPr>
        <w:t xml:space="preserve"> energije). Po zemljama je, međutim, prosječn</w:t>
      </w:r>
      <w:r>
        <w:rPr>
          <w:rFonts w:ascii="Calibri" w:hAnsi="Calibri" w:cs="Calibri"/>
          <w:lang w:val="hr-HR"/>
        </w:rPr>
        <w:t>i doprinos</w:t>
      </w:r>
      <w:r w:rsidRPr="00EA7FD9">
        <w:rPr>
          <w:rFonts w:ascii="Calibri" w:hAnsi="Calibri" w:cs="Calibri"/>
          <w:lang w:val="hr-HR"/>
        </w:rPr>
        <w:t xml:space="preserve"> OP</w:t>
      </w:r>
      <w:r>
        <w:rPr>
          <w:rFonts w:ascii="Calibri" w:hAnsi="Calibri" w:cs="Calibri"/>
          <w:lang w:val="hr-HR"/>
        </w:rPr>
        <w:t>-a po instrumentu financijskog inženjeringa</w:t>
      </w:r>
      <w:r w:rsidRPr="00EA7FD9">
        <w:rPr>
          <w:rFonts w:ascii="Calibri" w:hAnsi="Calibri" w:cs="Calibri"/>
          <w:lang w:val="hr-HR"/>
        </w:rPr>
        <w:t xml:space="preserve"> </w:t>
      </w:r>
      <w:r>
        <w:rPr>
          <w:rFonts w:ascii="Calibri" w:hAnsi="Calibri" w:cs="Calibri"/>
          <w:lang w:val="hr-HR"/>
        </w:rPr>
        <w:t>značajno varirao</w:t>
      </w:r>
      <w:r w:rsidRPr="00EA7FD9">
        <w:rPr>
          <w:rFonts w:ascii="Calibri" w:hAnsi="Calibri" w:cs="Calibri"/>
          <w:lang w:val="hr-HR"/>
        </w:rPr>
        <w:t>, od 4</w:t>
      </w:r>
      <w:r>
        <w:rPr>
          <w:rFonts w:ascii="Calibri" w:hAnsi="Calibri" w:cs="Calibri"/>
          <w:lang w:val="hr-HR"/>
        </w:rPr>
        <w:t xml:space="preserve"> </w:t>
      </w:r>
      <w:r w:rsidRPr="00EA7FD9">
        <w:rPr>
          <w:rFonts w:ascii="Calibri" w:hAnsi="Calibri" w:cs="Calibri"/>
          <w:lang w:val="hr-HR"/>
        </w:rPr>
        <w:t>m</w:t>
      </w:r>
      <w:r>
        <w:rPr>
          <w:rFonts w:ascii="Calibri" w:hAnsi="Calibri" w:cs="Calibri"/>
          <w:lang w:val="hr-HR"/>
        </w:rPr>
        <w:t>ilijuna eura</w:t>
      </w:r>
      <w:r w:rsidRPr="00EA7FD9">
        <w:rPr>
          <w:rFonts w:ascii="Calibri" w:hAnsi="Calibri" w:cs="Calibri"/>
          <w:lang w:val="hr-HR"/>
        </w:rPr>
        <w:t xml:space="preserve"> </w:t>
      </w:r>
      <w:r>
        <w:rPr>
          <w:rFonts w:ascii="Calibri" w:hAnsi="Calibri" w:cs="Calibri"/>
          <w:lang w:val="hr-HR"/>
        </w:rPr>
        <w:t>po instrumentu u</w:t>
      </w:r>
      <w:r w:rsidRPr="00EA7FD9">
        <w:rPr>
          <w:rFonts w:ascii="Calibri" w:hAnsi="Calibri" w:cs="Calibri"/>
          <w:lang w:val="hr-HR"/>
        </w:rPr>
        <w:t xml:space="preserve"> Danskoj do 62</w:t>
      </w:r>
      <w:r>
        <w:rPr>
          <w:rFonts w:ascii="Calibri" w:hAnsi="Calibri" w:cs="Calibri"/>
          <w:lang w:val="hr-HR"/>
        </w:rPr>
        <w:t xml:space="preserve"> </w:t>
      </w:r>
      <w:r w:rsidRPr="00EA7FD9">
        <w:rPr>
          <w:rFonts w:ascii="Calibri" w:hAnsi="Calibri" w:cs="Calibri"/>
          <w:lang w:val="hr-HR"/>
        </w:rPr>
        <w:t>m</w:t>
      </w:r>
      <w:r>
        <w:rPr>
          <w:rFonts w:ascii="Calibri" w:hAnsi="Calibri" w:cs="Calibri"/>
          <w:lang w:val="hr-HR"/>
        </w:rPr>
        <w:t>ilijuna eura po instrumentu</w:t>
      </w:r>
      <w:r w:rsidRPr="00EA7FD9">
        <w:rPr>
          <w:rFonts w:ascii="Calibri" w:hAnsi="Calibri" w:cs="Calibri"/>
          <w:lang w:val="hr-HR"/>
        </w:rPr>
        <w:t xml:space="preserve"> u Grčkoj</w:t>
      </w:r>
      <w:r w:rsidRPr="00EA7FD9">
        <w:rPr>
          <w:rFonts w:ascii="Calibri" w:hAnsi="Calibri" w:cs="Calibri"/>
          <w:vertAlign w:val="superscript"/>
          <w:lang w:val="hr-HR"/>
        </w:rPr>
        <w:footnoteReference w:id="5"/>
      </w:r>
      <w:r w:rsidRPr="00EA7FD9">
        <w:rPr>
          <w:rFonts w:ascii="Calibri" w:hAnsi="Calibri" w:cs="Calibri"/>
          <w:lang w:val="hr-HR"/>
        </w:rPr>
        <w:t xml:space="preserve">. </w:t>
      </w:r>
    </w:p>
    <w:p w14:paraId="28C4F58A" w14:textId="77777777" w:rsidR="00132E7D" w:rsidRPr="00EA7FD9" w:rsidRDefault="00132E7D" w:rsidP="00F030D3">
      <w:pPr>
        <w:spacing w:before="40" w:after="40" w:line="300" w:lineRule="auto"/>
        <w:rPr>
          <w:rFonts w:ascii="Calibri" w:hAnsi="Calibri" w:cs="Calibri"/>
          <w:lang w:val="hr-HR"/>
        </w:rPr>
      </w:pPr>
      <w:r w:rsidRPr="00EA7FD9">
        <w:rPr>
          <w:rFonts w:ascii="Calibri" w:hAnsi="Calibri" w:cs="Calibri"/>
          <w:lang w:val="hr-HR"/>
        </w:rPr>
        <w:t>Velika većina posebnih fondova</w:t>
      </w:r>
      <w:r>
        <w:rPr>
          <w:rFonts w:ascii="Calibri" w:hAnsi="Calibri" w:cs="Calibri"/>
          <w:lang w:val="hr-HR"/>
        </w:rPr>
        <w:t xml:space="preserve"> provodi se u okviru holding fondova</w:t>
      </w:r>
      <w:r w:rsidRPr="00EA7FD9">
        <w:rPr>
          <w:rFonts w:ascii="Calibri" w:hAnsi="Calibri" w:cs="Calibri"/>
          <w:lang w:val="hr-HR"/>
        </w:rPr>
        <w:t xml:space="preserve">. U slučaju </w:t>
      </w:r>
      <w:r>
        <w:rPr>
          <w:rFonts w:ascii="Calibri" w:hAnsi="Calibri" w:cs="Calibri"/>
          <w:lang w:val="hr-HR"/>
        </w:rPr>
        <w:t>holding fondova</w:t>
      </w:r>
      <w:r w:rsidRPr="00EA7FD9">
        <w:rPr>
          <w:rFonts w:ascii="Calibri" w:hAnsi="Calibri" w:cs="Calibri"/>
          <w:lang w:val="hr-HR"/>
        </w:rPr>
        <w:t xml:space="preserve"> za urbani razvoj jedino u Njemačkoj holding fondom upravlja subjekt koji nije </w:t>
      </w:r>
      <w:r>
        <w:rPr>
          <w:rFonts w:ascii="Calibri" w:hAnsi="Calibri" w:cs="Calibri"/>
          <w:lang w:val="hr-HR"/>
        </w:rPr>
        <w:t>Europska investicijska banka</w:t>
      </w:r>
      <w:r w:rsidRPr="00EA7FD9">
        <w:rPr>
          <w:rFonts w:ascii="Calibri" w:hAnsi="Calibri" w:cs="Calibri"/>
          <w:lang w:val="hr-HR"/>
        </w:rPr>
        <w:t xml:space="preserve">. </w:t>
      </w:r>
    </w:p>
    <w:p w14:paraId="270C7199" w14:textId="77777777" w:rsidR="00132E7D" w:rsidRPr="00CF2B98" w:rsidRDefault="00132E7D" w:rsidP="00F030D3">
      <w:pPr>
        <w:pStyle w:val="14-Heading2"/>
        <w:spacing w:before="40" w:after="40" w:line="300" w:lineRule="auto"/>
        <w:rPr>
          <w:sz w:val="22"/>
          <w:szCs w:val="22"/>
          <w:lang w:val="hr-HR"/>
        </w:rPr>
      </w:pPr>
      <w:r w:rsidRPr="00EA7FD9">
        <w:rPr>
          <w:lang w:val="hr-HR"/>
        </w:rPr>
        <w:br w:type="page"/>
      </w:r>
      <w:bookmarkStart w:id="5" w:name="_Toc394052272"/>
      <w:r w:rsidRPr="00CF2B98">
        <w:rPr>
          <w:sz w:val="22"/>
          <w:szCs w:val="22"/>
          <w:lang w:val="hr-HR"/>
        </w:rPr>
        <w:lastRenderedPageBreak/>
        <w:t>3.2</w:t>
      </w:r>
      <w:r w:rsidRPr="00CF2B98">
        <w:rPr>
          <w:sz w:val="22"/>
          <w:szCs w:val="22"/>
          <w:lang w:val="hr-HR"/>
        </w:rPr>
        <w:tab/>
        <w:t>Opseg i razmjer ulaganja</w:t>
      </w:r>
      <w:bookmarkEnd w:id="5"/>
    </w:p>
    <w:p w14:paraId="236EB27B" w14:textId="77777777" w:rsidR="00132E7D" w:rsidRPr="00EA7FD9" w:rsidRDefault="00132E7D" w:rsidP="00F030D3">
      <w:pPr>
        <w:spacing w:before="40" w:after="40" w:line="300" w:lineRule="auto"/>
        <w:rPr>
          <w:rFonts w:ascii="Calibri" w:hAnsi="Calibri" w:cs="Calibri"/>
          <w:lang w:val="hr-HR"/>
        </w:rPr>
      </w:pPr>
      <w:r>
        <w:rPr>
          <w:rFonts w:ascii="Calibri" w:hAnsi="Calibri" w:cs="Calibri"/>
          <w:lang w:val="hr-HR"/>
        </w:rPr>
        <w:t>Sažeto izvješće o financijskim instrumentima iz</w:t>
      </w:r>
      <w:r w:rsidRPr="00EA7FD9">
        <w:rPr>
          <w:rFonts w:ascii="Calibri" w:hAnsi="Calibri" w:cs="Calibri"/>
          <w:lang w:val="hr-HR"/>
        </w:rPr>
        <w:t xml:space="preserve"> 2013</w:t>
      </w:r>
      <w:r>
        <w:rPr>
          <w:rFonts w:ascii="Calibri" w:hAnsi="Calibri" w:cs="Calibri"/>
          <w:lang w:val="hr-HR"/>
        </w:rPr>
        <w:t>.</w:t>
      </w:r>
      <w:r w:rsidRPr="00EA7FD9">
        <w:rPr>
          <w:rFonts w:ascii="Calibri" w:hAnsi="Calibri" w:cs="Calibri"/>
          <w:lang w:val="hr-HR"/>
        </w:rPr>
        <w:t xml:space="preserve"> </w:t>
      </w:r>
      <w:r>
        <w:rPr>
          <w:rFonts w:ascii="Calibri" w:hAnsi="Calibri" w:cs="Calibri"/>
          <w:lang w:val="hr-HR"/>
        </w:rPr>
        <w:t xml:space="preserve">godine </w:t>
      </w:r>
      <w:r w:rsidRPr="00EA7FD9">
        <w:rPr>
          <w:rFonts w:ascii="Calibri" w:hAnsi="Calibri" w:cs="Calibri"/>
          <w:lang w:val="hr-HR"/>
        </w:rPr>
        <w:t>(</w:t>
      </w:r>
      <w:r>
        <w:rPr>
          <w:rFonts w:ascii="Calibri" w:hAnsi="Calibri" w:cs="Calibri"/>
          <w:lang w:val="hr-HR"/>
        </w:rPr>
        <w:t>temeljeno na podacima do kraja</w:t>
      </w:r>
      <w:r w:rsidRPr="00EA7FD9">
        <w:rPr>
          <w:rFonts w:ascii="Calibri" w:hAnsi="Calibri" w:cs="Calibri"/>
          <w:lang w:val="hr-HR"/>
        </w:rPr>
        <w:t xml:space="preserve"> 2012</w:t>
      </w:r>
      <w:r>
        <w:rPr>
          <w:rFonts w:ascii="Calibri" w:hAnsi="Calibri" w:cs="Calibri"/>
          <w:lang w:val="hr-HR"/>
        </w:rPr>
        <w:t>.</w:t>
      </w:r>
      <w:r w:rsidRPr="00EA7FD9">
        <w:rPr>
          <w:rFonts w:ascii="Calibri" w:hAnsi="Calibri" w:cs="Calibri"/>
          <w:lang w:val="hr-HR"/>
        </w:rPr>
        <w:t>)</w:t>
      </w:r>
      <w:r>
        <w:rPr>
          <w:rFonts w:ascii="Calibri" w:hAnsi="Calibri" w:cs="Calibri"/>
          <w:lang w:val="hr-HR"/>
        </w:rPr>
        <w:t>,</w:t>
      </w:r>
      <w:r w:rsidRPr="00EA7FD9">
        <w:rPr>
          <w:rFonts w:ascii="Calibri" w:hAnsi="Calibri" w:cs="Calibri"/>
          <w:lang w:val="hr-HR"/>
        </w:rPr>
        <w:t xml:space="preserve"> </w:t>
      </w:r>
      <w:r>
        <w:rPr>
          <w:rFonts w:ascii="Calibri" w:hAnsi="Calibri" w:cs="Calibri"/>
          <w:lang w:val="hr-HR"/>
        </w:rPr>
        <w:t>pružilo je vrlo ograničene informacije o opsegu ulaganja u okviru</w:t>
      </w:r>
      <w:r w:rsidRPr="00EA7FD9">
        <w:rPr>
          <w:rFonts w:ascii="Calibri" w:hAnsi="Calibri" w:cs="Calibri"/>
          <w:lang w:val="hr-HR"/>
        </w:rPr>
        <w:t xml:space="preserve"> JESSICA</w:t>
      </w:r>
      <w:r>
        <w:rPr>
          <w:rFonts w:ascii="Calibri" w:hAnsi="Calibri" w:cs="Calibri"/>
          <w:lang w:val="hr-HR"/>
        </w:rPr>
        <w:t>-e</w:t>
      </w:r>
      <w:r w:rsidRPr="00EA7FD9">
        <w:rPr>
          <w:rFonts w:ascii="Calibri" w:hAnsi="Calibri" w:cs="Calibri"/>
          <w:lang w:val="hr-HR"/>
        </w:rPr>
        <w:t xml:space="preserve">. </w:t>
      </w:r>
      <w:r>
        <w:rPr>
          <w:rFonts w:ascii="Calibri" w:hAnsi="Calibri" w:cs="Calibri"/>
          <w:lang w:val="hr-HR"/>
        </w:rPr>
        <w:t>U tom je razdoblju tek nešto manje od pola sredstava dodijeljenih iz OP-a za</w:t>
      </w:r>
      <w:r w:rsidRPr="00EA7FD9">
        <w:rPr>
          <w:rFonts w:ascii="Calibri" w:hAnsi="Calibri" w:cs="Calibri"/>
          <w:lang w:val="hr-HR"/>
        </w:rPr>
        <w:t xml:space="preserve"> </w:t>
      </w:r>
      <w:r>
        <w:rPr>
          <w:rFonts w:ascii="Calibri" w:hAnsi="Calibri" w:cs="Calibri"/>
          <w:lang w:val="hr-HR"/>
        </w:rPr>
        <w:t xml:space="preserve">fondove za </w:t>
      </w:r>
      <w:r w:rsidRPr="00EA7FD9">
        <w:rPr>
          <w:rFonts w:ascii="Calibri" w:hAnsi="Calibri" w:cs="Calibri"/>
          <w:lang w:val="hr-HR"/>
        </w:rPr>
        <w:t>urban</w:t>
      </w:r>
      <w:r>
        <w:rPr>
          <w:rFonts w:ascii="Calibri" w:hAnsi="Calibri" w:cs="Calibri"/>
          <w:lang w:val="hr-HR"/>
        </w:rPr>
        <w:t>i</w:t>
      </w:r>
      <w:r w:rsidRPr="00EA7FD9">
        <w:rPr>
          <w:rFonts w:ascii="Calibri" w:hAnsi="Calibri" w:cs="Calibri"/>
          <w:lang w:val="hr-HR"/>
        </w:rPr>
        <w:t xml:space="preserve"> </w:t>
      </w:r>
      <w:r>
        <w:rPr>
          <w:rFonts w:ascii="Calibri" w:hAnsi="Calibri" w:cs="Calibri"/>
          <w:lang w:val="hr-HR"/>
        </w:rPr>
        <w:t>razvoj</w:t>
      </w:r>
      <w:r w:rsidRPr="00EA7FD9">
        <w:rPr>
          <w:rFonts w:ascii="Calibri" w:hAnsi="Calibri" w:cs="Calibri"/>
          <w:lang w:val="hr-HR"/>
        </w:rPr>
        <w:t xml:space="preserve"> (44%) </w:t>
      </w:r>
      <w:r>
        <w:rPr>
          <w:rFonts w:ascii="Calibri" w:hAnsi="Calibri" w:cs="Calibri"/>
          <w:lang w:val="hr-HR"/>
        </w:rPr>
        <w:t>i energetsku učinkovitost</w:t>
      </w:r>
      <w:r w:rsidRPr="00EA7FD9">
        <w:rPr>
          <w:rFonts w:ascii="Calibri" w:hAnsi="Calibri" w:cs="Calibri"/>
          <w:lang w:val="hr-HR"/>
        </w:rPr>
        <w:t xml:space="preserve"> (55%) </w:t>
      </w:r>
      <w:r>
        <w:rPr>
          <w:rFonts w:ascii="Calibri" w:hAnsi="Calibri" w:cs="Calibri"/>
          <w:lang w:val="hr-HR"/>
        </w:rPr>
        <w:t>ostalo unutar holding fondova. Prema izvješću Centra za istraživanje europskih politika</w:t>
      </w:r>
      <w:r w:rsidRPr="00EA7FD9">
        <w:rPr>
          <w:rFonts w:ascii="Calibri" w:hAnsi="Calibri" w:cs="Calibri"/>
          <w:lang w:val="hr-HR"/>
        </w:rPr>
        <w:t xml:space="preserve"> o</w:t>
      </w:r>
      <w:r>
        <w:rPr>
          <w:rFonts w:ascii="Calibri" w:hAnsi="Calibri" w:cs="Calibri"/>
          <w:lang w:val="hr-HR"/>
        </w:rPr>
        <w:t xml:space="preserve"> studiji slučaja provedenoj početkom</w:t>
      </w:r>
      <w:r w:rsidRPr="00EA7FD9">
        <w:rPr>
          <w:rFonts w:ascii="Calibri" w:hAnsi="Calibri" w:cs="Calibri"/>
          <w:lang w:val="hr-HR"/>
        </w:rPr>
        <w:t xml:space="preserve"> 2012</w:t>
      </w:r>
      <w:r>
        <w:rPr>
          <w:rFonts w:ascii="Calibri" w:hAnsi="Calibri" w:cs="Calibri"/>
          <w:lang w:val="hr-HR"/>
        </w:rPr>
        <w:t>. godine</w:t>
      </w:r>
      <w:r w:rsidRPr="00EA7FD9">
        <w:rPr>
          <w:rFonts w:ascii="Calibri" w:hAnsi="Calibri" w:cs="Calibri"/>
          <w:vertAlign w:val="superscript"/>
          <w:lang w:val="hr-HR"/>
        </w:rPr>
        <w:footnoteReference w:id="6"/>
      </w:r>
      <w:r>
        <w:rPr>
          <w:rFonts w:ascii="Calibri" w:hAnsi="Calibri" w:cs="Calibri"/>
          <w:lang w:val="hr-HR"/>
        </w:rPr>
        <w:t>,</w:t>
      </w:r>
      <w:r w:rsidRPr="00EA7FD9">
        <w:rPr>
          <w:rFonts w:ascii="Calibri" w:hAnsi="Calibri" w:cs="Calibri"/>
          <w:lang w:val="hr-HR"/>
        </w:rPr>
        <w:t xml:space="preserve"> </w:t>
      </w:r>
      <w:r>
        <w:rPr>
          <w:rFonts w:ascii="Calibri" w:hAnsi="Calibri" w:cs="Calibri"/>
          <w:lang w:val="hr-HR"/>
        </w:rPr>
        <w:t>u to je vrijeme bilo vrlo malo ulaganja</w:t>
      </w:r>
      <w:r w:rsidRPr="00EA7FD9">
        <w:rPr>
          <w:rFonts w:ascii="Calibri" w:hAnsi="Calibri" w:cs="Calibri"/>
          <w:lang w:val="hr-HR"/>
        </w:rPr>
        <w:t xml:space="preserve">. </w:t>
      </w:r>
    </w:p>
    <w:p w14:paraId="68C1DF7D" w14:textId="77777777" w:rsidR="00132E7D" w:rsidRPr="00EA7FD9" w:rsidRDefault="00132E7D" w:rsidP="00F030D3">
      <w:pPr>
        <w:spacing w:before="40" w:after="40" w:line="300" w:lineRule="auto"/>
        <w:rPr>
          <w:rFonts w:ascii="Calibri" w:hAnsi="Calibri" w:cs="Calibri"/>
          <w:lang w:val="hr-HR"/>
        </w:rPr>
      </w:pPr>
      <w:r>
        <w:rPr>
          <w:rFonts w:ascii="Calibri" w:hAnsi="Calibri" w:cs="Calibri"/>
          <w:lang w:val="hr-HR"/>
        </w:rPr>
        <w:t xml:space="preserve">Kod ocjene operativnih programa u Velikoj Britaniji u </w:t>
      </w:r>
      <w:r w:rsidRPr="00111095">
        <w:rPr>
          <w:rFonts w:ascii="Calibri" w:hAnsi="Calibri" w:cs="Calibri"/>
          <w:lang w:val="hr-HR"/>
        </w:rPr>
        <w:t xml:space="preserve">srednjoj fazi, kao ključni problem istaknut je </w:t>
      </w:r>
      <w:r>
        <w:rPr>
          <w:rFonts w:ascii="Calibri" w:hAnsi="Calibri" w:cs="Calibri"/>
          <w:lang w:val="hr-HR"/>
        </w:rPr>
        <w:t>spori</w:t>
      </w:r>
      <w:r w:rsidRPr="00111095">
        <w:rPr>
          <w:rFonts w:ascii="Calibri" w:hAnsi="Calibri" w:cs="Calibri"/>
          <w:lang w:val="hr-HR"/>
        </w:rPr>
        <w:t xml:space="preserve"> napredak u dodjeli značajnih iznosa sredstava namijenjenih za instrumente JESSICA</w:t>
      </w:r>
      <w:r w:rsidRPr="00EA7FD9">
        <w:rPr>
          <w:rFonts w:ascii="Calibri" w:hAnsi="Calibri" w:cs="Calibri"/>
          <w:vertAlign w:val="superscript"/>
          <w:lang w:val="hr-HR"/>
        </w:rPr>
        <w:footnoteReference w:id="7"/>
      </w:r>
      <w:r w:rsidRPr="00EA7FD9">
        <w:rPr>
          <w:rFonts w:ascii="Calibri" w:hAnsi="Calibri" w:cs="Calibri"/>
          <w:lang w:val="hr-HR"/>
        </w:rPr>
        <w:t xml:space="preserve">. </w:t>
      </w:r>
      <w:r>
        <w:rPr>
          <w:rFonts w:ascii="Calibri" w:hAnsi="Calibri" w:cs="Calibri"/>
          <w:lang w:val="hr-HR"/>
        </w:rPr>
        <w:t>Smatralo se da postoji značajan rizik od otkazivanja značajnih iznosa u kasnoj fazi programa s ograničenim izgledima za njihovo korištenje za</w:t>
      </w:r>
      <w:r w:rsidRPr="00EA7FD9">
        <w:rPr>
          <w:rFonts w:ascii="Calibri" w:hAnsi="Calibri" w:cs="Calibri"/>
          <w:lang w:val="hr-HR"/>
        </w:rPr>
        <w:t xml:space="preserve"> </w:t>
      </w:r>
      <w:r>
        <w:rPr>
          <w:rFonts w:ascii="Calibri" w:hAnsi="Calibri" w:cs="Calibri"/>
          <w:lang w:val="hr-HR"/>
        </w:rPr>
        <w:t>druge projekte u kratkom roku</w:t>
      </w:r>
      <w:r w:rsidRPr="00EA7FD9">
        <w:rPr>
          <w:rFonts w:ascii="Calibri" w:hAnsi="Calibri" w:cs="Calibri"/>
          <w:lang w:val="hr-HR"/>
        </w:rPr>
        <w:t xml:space="preserve">. </w:t>
      </w:r>
      <w:r>
        <w:rPr>
          <w:rFonts w:ascii="Calibri" w:hAnsi="Calibri" w:cs="Calibri"/>
          <w:lang w:val="hr-HR"/>
        </w:rPr>
        <w:t>U skladu s time, u Škotskoj i Sjeverozapadnoj Engleskoj</w:t>
      </w:r>
      <w:r w:rsidRPr="00EA7FD9">
        <w:rPr>
          <w:rFonts w:ascii="Calibri" w:hAnsi="Calibri" w:cs="Calibri"/>
          <w:lang w:val="hr-HR"/>
        </w:rPr>
        <w:t xml:space="preserve"> </w:t>
      </w:r>
      <w:r>
        <w:rPr>
          <w:rFonts w:ascii="Calibri" w:hAnsi="Calibri" w:cs="Calibri"/>
          <w:lang w:val="hr-HR"/>
        </w:rPr>
        <w:t xml:space="preserve">provedena su ispitivanja u pogledu </w:t>
      </w:r>
      <w:r w:rsidRPr="0085316F">
        <w:rPr>
          <w:rFonts w:ascii="Calibri" w:hAnsi="Calibri" w:cs="Calibri"/>
          <w:lang w:val="hr-HR"/>
        </w:rPr>
        <w:t>aktualnog n</w:t>
      </w:r>
      <w:r>
        <w:rPr>
          <w:rFonts w:ascii="Calibri" w:hAnsi="Calibri" w:cs="Calibri"/>
          <w:lang w:val="hr-HR"/>
        </w:rPr>
        <w:t>apretka.</w:t>
      </w:r>
      <w:r w:rsidRPr="00EA7FD9">
        <w:rPr>
          <w:rFonts w:ascii="Calibri" w:hAnsi="Calibri" w:cs="Calibri"/>
          <w:lang w:val="hr-HR"/>
        </w:rPr>
        <w:t xml:space="preserve"> </w:t>
      </w:r>
    </w:p>
    <w:p w14:paraId="70A7B133" w14:textId="77777777" w:rsidR="00132E7D" w:rsidRPr="00EA7FD9" w:rsidRDefault="00132E7D" w:rsidP="00F030D3">
      <w:pPr>
        <w:spacing w:before="40" w:after="40" w:line="300" w:lineRule="auto"/>
        <w:rPr>
          <w:rFonts w:ascii="Calibri" w:hAnsi="Calibri" w:cs="Calibri"/>
          <w:lang w:val="hr-HR"/>
        </w:rPr>
      </w:pPr>
      <w:r>
        <w:rPr>
          <w:rFonts w:ascii="Calibri" w:hAnsi="Calibri" w:cs="Calibri"/>
          <w:lang w:val="hr-HR"/>
        </w:rPr>
        <w:t xml:space="preserve">U Škotskoj je za dva projekta do danas investirano </w:t>
      </w:r>
      <w:r w:rsidRPr="00EA7FD9">
        <w:rPr>
          <w:rFonts w:ascii="Calibri" w:hAnsi="Calibri" w:cs="Calibri"/>
          <w:lang w:val="hr-HR"/>
        </w:rPr>
        <w:t>11</w:t>
      </w:r>
      <w:r>
        <w:rPr>
          <w:rFonts w:ascii="Calibri" w:hAnsi="Calibri" w:cs="Calibri"/>
          <w:lang w:val="hr-HR"/>
        </w:rPr>
        <w:t>,7 milijuna funti iz fonda vrijednog 50 milijuna funti</w:t>
      </w:r>
      <w:r w:rsidRPr="00EA7FD9">
        <w:rPr>
          <w:rFonts w:ascii="Calibri" w:hAnsi="Calibri" w:cs="Calibri"/>
          <w:lang w:val="hr-HR"/>
        </w:rPr>
        <w:t>:</w:t>
      </w:r>
    </w:p>
    <w:p w14:paraId="6C45D5DB" w14:textId="77777777" w:rsidR="00132E7D" w:rsidRPr="00EA7FD9" w:rsidRDefault="00132E7D" w:rsidP="00F030D3">
      <w:pPr>
        <w:numPr>
          <w:ilvl w:val="0"/>
          <w:numId w:val="26"/>
        </w:numPr>
        <w:spacing w:before="40" w:after="40" w:line="300" w:lineRule="auto"/>
        <w:ind w:left="714" w:hanging="357"/>
        <w:rPr>
          <w:rFonts w:ascii="Calibri" w:hAnsi="Calibri" w:cs="Calibri"/>
          <w:lang w:val="hr-HR"/>
        </w:rPr>
      </w:pPr>
      <w:r w:rsidRPr="00EA7FD9">
        <w:rPr>
          <w:rFonts w:ascii="Calibri" w:hAnsi="Calibri" w:cs="Calibri"/>
          <w:lang w:val="hr-HR"/>
        </w:rPr>
        <w:t>2</w:t>
      </w:r>
      <w:r>
        <w:rPr>
          <w:rFonts w:ascii="Calibri" w:hAnsi="Calibri" w:cs="Calibri"/>
          <w:lang w:val="hr-HR"/>
        </w:rPr>
        <w:t xml:space="preserve">,1 milijuna funti uloženo je u projekt vrijedan </w:t>
      </w:r>
      <w:r w:rsidRPr="00EA7FD9">
        <w:rPr>
          <w:rFonts w:ascii="Calibri" w:hAnsi="Calibri" w:cs="Calibri"/>
          <w:lang w:val="hr-HR"/>
        </w:rPr>
        <w:t>3</w:t>
      </w:r>
      <w:r>
        <w:rPr>
          <w:rFonts w:ascii="Calibri" w:hAnsi="Calibri" w:cs="Calibri"/>
          <w:lang w:val="hr-HR"/>
        </w:rPr>
        <w:t>,</w:t>
      </w:r>
      <w:r w:rsidRPr="00EA7FD9">
        <w:rPr>
          <w:rFonts w:ascii="Calibri" w:hAnsi="Calibri" w:cs="Calibri"/>
          <w:lang w:val="hr-HR"/>
        </w:rPr>
        <w:t>2</w:t>
      </w:r>
      <w:r>
        <w:rPr>
          <w:rFonts w:ascii="Calibri" w:hAnsi="Calibri" w:cs="Calibri"/>
          <w:lang w:val="hr-HR"/>
        </w:rPr>
        <w:t xml:space="preserve"> milijuna funti namijenjen razvoju </w:t>
      </w:r>
      <w:r w:rsidRPr="00EA7FD9">
        <w:rPr>
          <w:rFonts w:ascii="Calibri" w:hAnsi="Calibri" w:cs="Calibri"/>
          <w:lang w:val="hr-HR"/>
        </w:rPr>
        <w:t>4,000</w:t>
      </w:r>
      <w:r>
        <w:rPr>
          <w:rFonts w:ascii="Calibri" w:hAnsi="Calibri" w:cs="Calibri"/>
          <w:lang w:val="hr-HR"/>
        </w:rPr>
        <w:t xml:space="preserve"> </w:t>
      </w:r>
      <w:r w:rsidRPr="00EA7FD9">
        <w:rPr>
          <w:rFonts w:ascii="Calibri" w:hAnsi="Calibri" w:cs="Calibri"/>
          <w:lang w:val="hr-HR"/>
        </w:rPr>
        <w:t>m</w:t>
      </w:r>
      <w:r w:rsidRPr="0085316F">
        <w:rPr>
          <w:rFonts w:ascii="Calibri" w:hAnsi="Calibri" w:cs="Calibri"/>
          <w:vertAlign w:val="superscript"/>
          <w:lang w:val="hr-HR"/>
        </w:rPr>
        <w:t>2</w:t>
      </w:r>
      <w:r w:rsidRPr="00EA7FD9">
        <w:rPr>
          <w:rFonts w:ascii="Calibri" w:hAnsi="Calibri" w:cs="Calibri"/>
          <w:lang w:val="hr-HR"/>
        </w:rPr>
        <w:t xml:space="preserve"> </w:t>
      </w:r>
      <w:r>
        <w:rPr>
          <w:rFonts w:ascii="Calibri" w:hAnsi="Calibri" w:cs="Calibri"/>
          <w:lang w:val="hr-HR"/>
        </w:rPr>
        <w:t xml:space="preserve">industrijskih jedinica i </w:t>
      </w:r>
      <w:r w:rsidRPr="00C37A5A">
        <w:rPr>
          <w:rFonts w:ascii="Calibri" w:hAnsi="Calibri" w:cs="Calibri"/>
          <w:lang w:val="hr-HR"/>
        </w:rPr>
        <w:t>fleksibilnog poslovnog prostora</w:t>
      </w:r>
      <w:r w:rsidRPr="00EA7FD9">
        <w:rPr>
          <w:rFonts w:ascii="Calibri" w:hAnsi="Calibri" w:cs="Calibri"/>
          <w:lang w:val="hr-HR"/>
        </w:rPr>
        <w:t xml:space="preserve"> </w:t>
      </w:r>
      <w:r>
        <w:rPr>
          <w:rFonts w:ascii="Calibri" w:hAnsi="Calibri" w:cs="Calibri"/>
          <w:lang w:val="hr-HR"/>
        </w:rPr>
        <w:t xml:space="preserve">za mala i srednja poduzeća na </w:t>
      </w:r>
      <w:r w:rsidRPr="00086C08">
        <w:rPr>
          <w:rFonts w:ascii="Calibri" w:hAnsi="Calibri" w:cs="Calibri"/>
          <w:i/>
          <w:iCs/>
          <w:lang w:val="hr-HR"/>
        </w:rPr>
        <w:t>brownfield</w:t>
      </w:r>
      <w:r w:rsidRPr="00EA7FD9">
        <w:rPr>
          <w:rFonts w:ascii="Calibri" w:hAnsi="Calibri" w:cs="Calibri"/>
          <w:lang w:val="hr-HR"/>
        </w:rPr>
        <w:t xml:space="preserve"> </w:t>
      </w:r>
      <w:r>
        <w:rPr>
          <w:rFonts w:ascii="Calibri" w:hAnsi="Calibri" w:cs="Calibri"/>
          <w:lang w:val="hr-HR"/>
        </w:rPr>
        <w:t xml:space="preserve">lokaciji u </w:t>
      </w:r>
      <w:r w:rsidRPr="00EA7FD9">
        <w:rPr>
          <w:rFonts w:ascii="Calibri" w:hAnsi="Calibri" w:cs="Calibri"/>
          <w:lang w:val="hr-HR"/>
        </w:rPr>
        <w:t>North Lanarkshire</w:t>
      </w:r>
      <w:r>
        <w:rPr>
          <w:rFonts w:ascii="Calibri" w:hAnsi="Calibri" w:cs="Calibri"/>
          <w:lang w:val="hr-HR"/>
        </w:rPr>
        <w:t>u;</w:t>
      </w:r>
    </w:p>
    <w:p w14:paraId="4E2A14CA" w14:textId="7FA6FDD1" w:rsidR="00132E7D" w:rsidRPr="00601EBC" w:rsidRDefault="00132E7D" w:rsidP="00F030D3">
      <w:pPr>
        <w:numPr>
          <w:ilvl w:val="0"/>
          <w:numId w:val="26"/>
        </w:numPr>
        <w:spacing w:before="40" w:after="40" w:line="300" w:lineRule="auto"/>
        <w:ind w:left="714" w:hanging="357"/>
        <w:rPr>
          <w:rFonts w:ascii="Calibri" w:hAnsi="Calibri" w:cs="Calibri"/>
          <w:lang w:val="hr-HR"/>
        </w:rPr>
      </w:pPr>
      <w:r w:rsidRPr="00EA7FD9">
        <w:rPr>
          <w:rFonts w:ascii="Calibri" w:hAnsi="Calibri" w:cs="Calibri"/>
          <w:lang w:val="hr-HR"/>
        </w:rPr>
        <w:t>9</w:t>
      </w:r>
      <w:r>
        <w:rPr>
          <w:rFonts w:ascii="Calibri" w:hAnsi="Calibri" w:cs="Calibri"/>
          <w:lang w:val="hr-HR"/>
        </w:rPr>
        <w:t>,</w:t>
      </w:r>
      <w:r w:rsidRPr="00EA7FD9">
        <w:rPr>
          <w:rFonts w:ascii="Calibri" w:hAnsi="Calibri" w:cs="Calibri"/>
          <w:lang w:val="hr-HR"/>
        </w:rPr>
        <w:t>6 m</w:t>
      </w:r>
      <w:r>
        <w:rPr>
          <w:rFonts w:ascii="Calibri" w:hAnsi="Calibri" w:cs="Calibri"/>
          <w:lang w:val="hr-HR"/>
        </w:rPr>
        <w:t xml:space="preserve">ilijuna funti uloženo je u </w:t>
      </w:r>
      <w:r w:rsidRPr="00EA7FD9">
        <w:rPr>
          <w:rFonts w:ascii="Calibri" w:hAnsi="Calibri" w:cs="Calibri"/>
          <w:lang w:val="hr-HR"/>
        </w:rPr>
        <w:t>50</w:t>
      </w:r>
      <w:r>
        <w:rPr>
          <w:rFonts w:ascii="Calibri" w:hAnsi="Calibri" w:cs="Calibri"/>
          <w:lang w:val="hr-HR"/>
        </w:rPr>
        <w:t xml:space="preserve"> </w:t>
      </w:r>
      <w:r w:rsidRPr="00EA7FD9">
        <w:rPr>
          <w:rFonts w:ascii="Calibri" w:hAnsi="Calibri" w:cs="Calibri"/>
          <w:lang w:val="hr-HR"/>
        </w:rPr>
        <w:t>m</w:t>
      </w:r>
      <w:r>
        <w:rPr>
          <w:rFonts w:ascii="Calibri" w:hAnsi="Calibri" w:cs="Calibri"/>
          <w:lang w:val="hr-HR"/>
        </w:rPr>
        <w:t>ilijuna funti vrijedan projekt izgradnje</w:t>
      </w:r>
      <w:r w:rsidRPr="00EA7FD9">
        <w:rPr>
          <w:rFonts w:ascii="Calibri" w:hAnsi="Calibri" w:cs="Calibri"/>
          <w:lang w:val="hr-HR"/>
        </w:rPr>
        <w:t xml:space="preserve"> 13,000</w:t>
      </w:r>
      <w:r>
        <w:rPr>
          <w:rFonts w:ascii="Calibri" w:hAnsi="Calibri" w:cs="Calibri"/>
          <w:lang w:val="hr-HR"/>
        </w:rPr>
        <w:t xml:space="preserve"> </w:t>
      </w:r>
      <w:r w:rsidRPr="00EA7FD9">
        <w:rPr>
          <w:rFonts w:ascii="Calibri" w:hAnsi="Calibri" w:cs="Calibri"/>
          <w:lang w:val="hr-HR"/>
        </w:rPr>
        <w:t>m</w:t>
      </w:r>
      <w:r w:rsidRPr="0085316F">
        <w:rPr>
          <w:rFonts w:ascii="Calibri" w:hAnsi="Calibri" w:cs="Calibri"/>
          <w:vertAlign w:val="superscript"/>
          <w:lang w:val="hr-HR"/>
        </w:rPr>
        <w:t>2</w:t>
      </w:r>
      <w:r>
        <w:rPr>
          <w:rFonts w:ascii="Calibri" w:hAnsi="Calibri" w:cs="Calibri"/>
          <w:lang w:val="hr-HR"/>
        </w:rPr>
        <w:t xml:space="preserve"> ureda</w:t>
      </w:r>
      <w:r w:rsidRPr="00EA7FD9">
        <w:rPr>
          <w:rFonts w:ascii="Calibri" w:hAnsi="Calibri" w:cs="Calibri"/>
          <w:lang w:val="hr-HR"/>
        </w:rPr>
        <w:t xml:space="preserve"> </w:t>
      </w:r>
      <w:r w:rsidRPr="0085316F">
        <w:rPr>
          <w:rFonts w:ascii="Calibri" w:hAnsi="Calibri" w:cs="Calibri"/>
          <w:lang w:val="hr-HR"/>
        </w:rPr>
        <w:t>A</w:t>
      </w:r>
      <w:r>
        <w:rPr>
          <w:rFonts w:ascii="Calibri" w:hAnsi="Calibri" w:cs="Calibri"/>
          <w:lang w:val="hr-HR"/>
        </w:rPr>
        <w:t xml:space="preserve"> klase</w:t>
      </w:r>
      <w:r w:rsidRPr="00EA7FD9">
        <w:rPr>
          <w:rFonts w:ascii="Calibri" w:hAnsi="Calibri" w:cs="Calibri"/>
          <w:lang w:val="hr-HR"/>
        </w:rPr>
        <w:t xml:space="preserve"> </w:t>
      </w:r>
      <w:r>
        <w:rPr>
          <w:rFonts w:ascii="Calibri" w:hAnsi="Calibri" w:cs="Calibri"/>
          <w:lang w:val="hr-HR"/>
        </w:rPr>
        <w:t>u</w:t>
      </w:r>
      <w:r w:rsidRPr="00EA7FD9">
        <w:rPr>
          <w:rFonts w:ascii="Calibri" w:hAnsi="Calibri" w:cs="Calibri"/>
          <w:lang w:val="hr-HR"/>
        </w:rPr>
        <w:t xml:space="preserve"> </w:t>
      </w:r>
      <w:r>
        <w:rPr>
          <w:rFonts w:ascii="Calibri" w:hAnsi="Calibri" w:cs="Calibri"/>
          <w:lang w:val="hr-HR"/>
        </w:rPr>
        <w:t xml:space="preserve">centru </w:t>
      </w:r>
      <w:r w:rsidRPr="00EA7FD9">
        <w:rPr>
          <w:rFonts w:ascii="Calibri" w:hAnsi="Calibri" w:cs="Calibri"/>
          <w:lang w:val="hr-HR"/>
        </w:rPr>
        <w:t>Glasgow</w:t>
      </w:r>
      <w:r>
        <w:rPr>
          <w:rFonts w:ascii="Calibri" w:hAnsi="Calibri" w:cs="Calibri"/>
          <w:lang w:val="hr-HR"/>
        </w:rPr>
        <w:t xml:space="preserve">a, gdje tržište ne bi zadovoljilo najviše standarde zaštite okoliša </w:t>
      </w:r>
      <w:r w:rsidRPr="00EA7FD9">
        <w:rPr>
          <w:rFonts w:ascii="Calibri" w:hAnsi="Calibri" w:cs="Calibri"/>
          <w:lang w:val="hr-HR"/>
        </w:rPr>
        <w:t xml:space="preserve">(BREEAM) </w:t>
      </w:r>
      <w:r>
        <w:rPr>
          <w:rFonts w:ascii="Calibri" w:hAnsi="Calibri" w:cs="Calibri"/>
          <w:lang w:val="hr-HR"/>
        </w:rPr>
        <w:t xml:space="preserve">bez javne potpore </w:t>
      </w:r>
      <w:r w:rsidRPr="0085316F">
        <w:rPr>
          <w:rFonts w:ascii="Calibri" w:hAnsi="Calibri" w:cs="Calibri"/>
          <w:lang w:val="hr-HR"/>
        </w:rPr>
        <w:t xml:space="preserve">u </w:t>
      </w:r>
      <w:r w:rsidRPr="00601EBC">
        <w:rPr>
          <w:rFonts w:ascii="Calibri" w:hAnsi="Calibri" w:cs="Calibri"/>
          <w:lang w:val="hr-HR"/>
        </w:rPr>
        <w:t>postojećem razvojnom ozračju</w:t>
      </w:r>
      <w:r>
        <w:rPr>
          <w:rFonts w:ascii="Calibri" w:hAnsi="Calibri" w:cs="Calibri"/>
          <w:lang w:val="hr-HR"/>
        </w:rPr>
        <w:t>.</w:t>
      </w:r>
    </w:p>
    <w:p w14:paraId="3F6C6851" w14:textId="77777777" w:rsidR="00132E7D" w:rsidRPr="00EA7FD9" w:rsidRDefault="00132E7D" w:rsidP="00F030D3">
      <w:pPr>
        <w:spacing w:before="40" w:after="40" w:line="300" w:lineRule="auto"/>
        <w:rPr>
          <w:rFonts w:ascii="Calibri" w:hAnsi="Calibri" w:cs="Calibri"/>
          <w:lang w:val="hr-HR"/>
        </w:rPr>
      </w:pPr>
      <w:r w:rsidRPr="00AF5869">
        <w:rPr>
          <w:rFonts w:ascii="Calibri" w:hAnsi="Calibri" w:cs="Calibri"/>
          <w:lang w:val="hr-HR"/>
        </w:rPr>
        <w:t xml:space="preserve">Škotska je vlada napomenula da su upravitelji fonda izradili bazu za provedbu daljnjih projekata u fazi razrade, </w:t>
      </w:r>
      <w:r w:rsidRPr="004C45F7">
        <w:rPr>
          <w:rFonts w:ascii="Calibri" w:hAnsi="Calibri" w:cs="Calibri"/>
          <w:lang w:val="hr-HR"/>
        </w:rPr>
        <w:t xml:space="preserve">uz optimistične izglede za </w:t>
      </w:r>
      <w:r>
        <w:rPr>
          <w:rFonts w:ascii="Calibri" w:hAnsi="Calibri" w:cs="Calibri"/>
          <w:lang w:val="hr-HR"/>
        </w:rPr>
        <w:t>plasiranje</w:t>
      </w:r>
      <w:r w:rsidRPr="004C45F7">
        <w:rPr>
          <w:rFonts w:ascii="Calibri" w:hAnsi="Calibri" w:cs="Calibri"/>
          <w:lang w:val="hr-HR"/>
        </w:rPr>
        <w:t xml:space="preserve"> preostalih sredstava do 2015.</w:t>
      </w:r>
      <w:r>
        <w:rPr>
          <w:rFonts w:ascii="Calibri" w:hAnsi="Calibri" w:cs="Calibri"/>
          <w:lang w:val="hr-HR"/>
        </w:rPr>
        <w:t xml:space="preserve"> godine.</w:t>
      </w:r>
    </w:p>
    <w:p w14:paraId="3CEACA96" w14:textId="77777777" w:rsidR="00132E7D" w:rsidRPr="00EA7FD9" w:rsidRDefault="00132E7D" w:rsidP="00F030D3">
      <w:pPr>
        <w:spacing w:before="40" w:after="40" w:line="300" w:lineRule="auto"/>
        <w:rPr>
          <w:rFonts w:ascii="Calibri" w:hAnsi="Calibri" w:cs="Calibri"/>
          <w:lang w:val="hr-HR"/>
        </w:rPr>
      </w:pPr>
      <w:r>
        <w:rPr>
          <w:rFonts w:ascii="Calibri" w:hAnsi="Calibri" w:cs="Calibri"/>
          <w:lang w:val="hr-HR"/>
        </w:rPr>
        <w:t xml:space="preserve">Kada je riječ o Sjeverozapadnoj Engleskoj, gdje su osnovana dva fonda za urbani razvoj vrijedna </w:t>
      </w:r>
      <w:r w:rsidRPr="00EA7FD9">
        <w:rPr>
          <w:rFonts w:ascii="Calibri" w:hAnsi="Calibri" w:cs="Calibri"/>
          <w:lang w:val="hr-HR"/>
        </w:rPr>
        <w:t>50</w:t>
      </w:r>
      <w:r>
        <w:rPr>
          <w:rFonts w:ascii="Calibri" w:hAnsi="Calibri" w:cs="Calibri"/>
          <w:lang w:val="hr-HR"/>
        </w:rPr>
        <w:t xml:space="preserve"> milijuna funti</w:t>
      </w:r>
      <w:r w:rsidRPr="00AF5869">
        <w:rPr>
          <w:rFonts w:ascii="Calibri" w:hAnsi="Calibri" w:cs="Calibri"/>
          <w:lang w:val="hr-HR"/>
        </w:rPr>
        <w:t>, trebalo je dosta vremena za njihovu uspostavu i razvoj daljnjih projekata</w:t>
      </w:r>
      <w:r>
        <w:rPr>
          <w:rFonts w:ascii="Calibri" w:hAnsi="Calibri" w:cs="Calibri"/>
          <w:lang w:val="hr-HR"/>
        </w:rPr>
        <w:t>.</w:t>
      </w:r>
      <w:r w:rsidRPr="00EA7FD9">
        <w:rPr>
          <w:rFonts w:ascii="Calibri" w:hAnsi="Calibri" w:cs="Calibri"/>
          <w:lang w:val="hr-HR"/>
        </w:rPr>
        <w:t xml:space="preserve"> </w:t>
      </w:r>
      <w:r>
        <w:rPr>
          <w:rFonts w:ascii="Calibri" w:hAnsi="Calibri" w:cs="Calibri"/>
          <w:lang w:val="hr-HR"/>
        </w:rPr>
        <w:t xml:space="preserve">Fondovi za urbani razvoj do danas su izvršili značajan </w:t>
      </w:r>
      <w:r w:rsidRPr="00AF5869">
        <w:rPr>
          <w:rFonts w:ascii="Calibri" w:hAnsi="Calibri" w:cs="Calibri"/>
          <w:lang w:val="hr-HR"/>
        </w:rPr>
        <w:t>broj ulaganja</w:t>
      </w:r>
      <w:r>
        <w:rPr>
          <w:rFonts w:ascii="Calibri" w:hAnsi="Calibri" w:cs="Calibri"/>
          <w:lang w:val="hr-HR"/>
        </w:rPr>
        <w:t xml:space="preserve"> te imaju široku bazu projekata u pripremi za koje namjeravaju izdvojiti preostala sredstva unutar predviđenih rokova. </w:t>
      </w:r>
    </w:p>
    <w:p w14:paraId="166AAA32" w14:textId="77777777" w:rsidR="00132E7D" w:rsidRPr="00EA7FD9" w:rsidRDefault="00132E7D" w:rsidP="00F030D3">
      <w:pPr>
        <w:spacing w:before="40" w:after="40" w:line="300" w:lineRule="auto"/>
        <w:rPr>
          <w:rFonts w:ascii="Calibri" w:hAnsi="Calibri" w:cs="Calibri"/>
          <w:lang w:val="hr-HR"/>
        </w:rPr>
      </w:pPr>
      <w:r>
        <w:rPr>
          <w:rFonts w:ascii="Calibri" w:hAnsi="Calibri" w:cs="Calibri"/>
          <w:lang w:val="hr-HR"/>
        </w:rPr>
        <w:t>U oba primjera postoji interes za ponovno korištenje mehanizma</w:t>
      </w:r>
      <w:r w:rsidRPr="00EA7FD9">
        <w:rPr>
          <w:rFonts w:ascii="Calibri" w:hAnsi="Calibri" w:cs="Calibri"/>
          <w:lang w:val="hr-HR"/>
        </w:rPr>
        <w:t xml:space="preserve"> JESSICA</w:t>
      </w:r>
      <w:r>
        <w:rPr>
          <w:rFonts w:ascii="Calibri" w:hAnsi="Calibri" w:cs="Calibri"/>
          <w:lang w:val="hr-HR"/>
        </w:rPr>
        <w:t xml:space="preserve"> u razdoblju</w:t>
      </w:r>
      <w:r w:rsidRPr="00EA7FD9">
        <w:rPr>
          <w:rFonts w:ascii="Calibri" w:hAnsi="Calibri" w:cs="Calibri"/>
          <w:lang w:val="hr-HR"/>
        </w:rPr>
        <w:t xml:space="preserve"> 2014</w:t>
      </w:r>
      <w:r>
        <w:rPr>
          <w:rFonts w:ascii="Calibri" w:hAnsi="Calibri" w:cs="Calibri"/>
          <w:lang w:val="hr-HR"/>
        </w:rPr>
        <w:t>.</w:t>
      </w:r>
      <w:r w:rsidRPr="00EA7FD9">
        <w:rPr>
          <w:rFonts w:ascii="Calibri" w:hAnsi="Calibri" w:cs="Calibri"/>
          <w:lang w:val="hr-HR"/>
        </w:rPr>
        <w:t>-</w:t>
      </w:r>
      <w:r>
        <w:rPr>
          <w:rFonts w:ascii="Calibri" w:hAnsi="Calibri" w:cs="Calibri"/>
          <w:lang w:val="hr-HR"/>
        </w:rPr>
        <w:t>20</w:t>
      </w:r>
      <w:r w:rsidRPr="00EA7FD9">
        <w:rPr>
          <w:rFonts w:ascii="Calibri" w:hAnsi="Calibri" w:cs="Calibri"/>
          <w:lang w:val="hr-HR"/>
        </w:rPr>
        <w:t xml:space="preserve">20. </w:t>
      </w:r>
    </w:p>
    <w:p w14:paraId="15100181" w14:textId="77777777" w:rsidR="00132E7D" w:rsidRPr="00EA7FD9" w:rsidRDefault="00132E7D" w:rsidP="00F030D3">
      <w:pPr>
        <w:spacing w:before="40" w:after="40" w:line="300" w:lineRule="auto"/>
        <w:rPr>
          <w:rFonts w:ascii="Calibri" w:hAnsi="Calibri" w:cs="Calibri"/>
          <w:lang w:val="hr-HR"/>
        </w:rPr>
      </w:pPr>
      <w:r>
        <w:rPr>
          <w:rFonts w:ascii="Calibri" w:hAnsi="Calibri" w:cs="Calibri"/>
          <w:lang w:val="hr-HR"/>
        </w:rPr>
        <w:t>Istraživanje koje je za Opću upravu za regionalni razvoj Europske komisije</w:t>
      </w:r>
      <w:r w:rsidRPr="00EA7FD9">
        <w:rPr>
          <w:rFonts w:ascii="Calibri" w:hAnsi="Calibri" w:cs="Calibri"/>
          <w:lang w:val="hr-HR"/>
        </w:rPr>
        <w:t xml:space="preserve"> </w:t>
      </w:r>
      <w:r>
        <w:rPr>
          <w:rFonts w:ascii="Calibri" w:hAnsi="Calibri" w:cs="Calibri"/>
          <w:lang w:val="hr-HR"/>
        </w:rPr>
        <w:t>nedavno provela</w:t>
      </w:r>
      <w:r w:rsidRPr="00EA7FD9">
        <w:rPr>
          <w:rFonts w:ascii="Calibri" w:hAnsi="Calibri" w:cs="Calibri"/>
          <w:lang w:val="hr-HR"/>
        </w:rPr>
        <w:t xml:space="preserve"> Europ</w:t>
      </w:r>
      <w:r>
        <w:rPr>
          <w:rFonts w:ascii="Calibri" w:hAnsi="Calibri" w:cs="Calibri"/>
          <w:lang w:val="hr-HR"/>
        </w:rPr>
        <w:t>ska udruga za informiranje o lokalnom razvoju</w:t>
      </w:r>
      <w:r w:rsidRPr="00EA7FD9">
        <w:rPr>
          <w:rFonts w:ascii="Calibri" w:hAnsi="Calibri" w:cs="Calibri"/>
          <w:lang w:val="hr-HR"/>
        </w:rPr>
        <w:t xml:space="preserve"> (AEIDL)</w:t>
      </w:r>
      <w:r w:rsidRPr="00EA7FD9">
        <w:rPr>
          <w:rStyle w:val="FootnoteReference"/>
          <w:rFonts w:ascii="Calibri" w:hAnsi="Calibri" w:cs="Calibri"/>
          <w:lang w:val="hr-HR"/>
        </w:rPr>
        <w:footnoteReference w:id="8"/>
      </w:r>
      <w:r w:rsidRPr="00EA7FD9">
        <w:rPr>
          <w:rFonts w:ascii="Calibri" w:hAnsi="Calibri" w:cs="Calibri"/>
          <w:lang w:val="hr-HR"/>
        </w:rPr>
        <w:t xml:space="preserve"> </w:t>
      </w:r>
      <w:r>
        <w:rPr>
          <w:rFonts w:ascii="Calibri" w:hAnsi="Calibri" w:cs="Calibri"/>
          <w:lang w:val="hr-HR"/>
        </w:rPr>
        <w:t>uključivalo je studiju slučajeva manjeg broja fondova za urbani razvoj u Danskoj, Poljskoj i Velikoj Britaniji. Zabilježeni su negativni učinci nedavne financijske krize na operacije ovih i</w:t>
      </w:r>
      <w:r w:rsidRPr="00EA7FD9">
        <w:rPr>
          <w:rFonts w:ascii="Calibri" w:hAnsi="Calibri" w:cs="Calibri"/>
          <w:lang w:val="hr-HR"/>
        </w:rPr>
        <w:t>nstrumen</w:t>
      </w:r>
      <w:r>
        <w:rPr>
          <w:rFonts w:ascii="Calibri" w:hAnsi="Calibri" w:cs="Calibri"/>
          <w:lang w:val="hr-HR"/>
        </w:rPr>
        <w:t>a</w:t>
      </w:r>
      <w:r w:rsidRPr="00EA7FD9">
        <w:rPr>
          <w:rFonts w:ascii="Calibri" w:hAnsi="Calibri" w:cs="Calibri"/>
          <w:lang w:val="hr-HR"/>
        </w:rPr>
        <w:t>t</w:t>
      </w:r>
      <w:r>
        <w:rPr>
          <w:rFonts w:ascii="Calibri" w:hAnsi="Calibri" w:cs="Calibri"/>
          <w:lang w:val="hr-HR"/>
        </w:rPr>
        <w:t>a uslijed povećane nepredvidivosti troškova i povrata dovršenih ulaganja</w:t>
      </w:r>
      <w:r w:rsidRPr="00EA7FD9">
        <w:rPr>
          <w:rFonts w:ascii="Calibri" w:hAnsi="Calibri" w:cs="Calibri"/>
          <w:lang w:val="hr-HR"/>
        </w:rPr>
        <w:t xml:space="preserve">. </w:t>
      </w:r>
      <w:r>
        <w:rPr>
          <w:rFonts w:ascii="Calibri" w:hAnsi="Calibri" w:cs="Calibri"/>
          <w:lang w:val="hr-HR"/>
        </w:rPr>
        <w:t>U studiji je izneseno i upozorenje u pogledu potencijalne održivosti instrumenata poput</w:t>
      </w:r>
      <w:r w:rsidRPr="00EA7FD9">
        <w:rPr>
          <w:rFonts w:ascii="Calibri" w:hAnsi="Calibri" w:cs="Calibri"/>
          <w:lang w:val="hr-HR"/>
        </w:rPr>
        <w:t xml:space="preserve"> JESSICA</w:t>
      </w:r>
      <w:r>
        <w:rPr>
          <w:rFonts w:ascii="Calibri" w:hAnsi="Calibri" w:cs="Calibri"/>
          <w:lang w:val="hr-HR"/>
        </w:rPr>
        <w:t>-e za financiranje</w:t>
      </w:r>
      <w:r w:rsidRPr="00EA7FD9">
        <w:rPr>
          <w:rFonts w:ascii="Calibri" w:hAnsi="Calibri" w:cs="Calibri"/>
          <w:lang w:val="hr-HR"/>
        </w:rPr>
        <w:t xml:space="preserve"> </w:t>
      </w:r>
      <w:r>
        <w:rPr>
          <w:rFonts w:ascii="Calibri" w:hAnsi="Calibri" w:cs="Calibri"/>
          <w:lang w:val="hr-HR"/>
        </w:rPr>
        <w:t>opsežnih aktivnosti razvoja određenih područja</w:t>
      </w:r>
      <w:r w:rsidRPr="00EA7FD9">
        <w:rPr>
          <w:rFonts w:ascii="Calibri" w:hAnsi="Calibri" w:cs="Calibri"/>
          <w:lang w:val="hr-HR"/>
        </w:rPr>
        <w:t xml:space="preserve">. </w:t>
      </w:r>
      <w:r>
        <w:rPr>
          <w:rFonts w:ascii="Calibri" w:hAnsi="Calibri" w:cs="Calibri"/>
          <w:lang w:val="hr-HR"/>
        </w:rPr>
        <w:t>U zaključku se navodi da za uspješnost integriranog pristupa, fond poput</w:t>
      </w:r>
      <w:r w:rsidRPr="00EA7FD9">
        <w:rPr>
          <w:rFonts w:ascii="Calibri" w:hAnsi="Calibri" w:cs="Calibri"/>
          <w:lang w:val="hr-HR"/>
        </w:rPr>
        <w:t xml:space="preserve"> JESSICA</w:t>
      </w:r>
      <w:r>
        <w:rPr>
          <w:rFonts w:ascii="Calibri" w:hAnsi="Calibri" w:cs="Calibri"/>
          <w:lang w:val="hr-HR"/>
        </w:rPr>
        <w:t>-e, koji može financirati samo profitabilna ulaganja</w:t>
      </w:r>
      <w:r w:rsidRPr="00EA7FD9">
        <w:rPr>
          <w:rFonts w:ascii="Calibri" w:hAnsi="Calibri" w:cs="Calibri"/>
          <w:lang w:val="hr-HR"/>
        </w:rPr>
        <w:t xml:space="preserve"> </w:t>
      </w:r>
      <w:r>
        <w:rPr>
          <w:rFonts w:ascii="Calibri" w:hAnsi="Calibri" w:cs="Calibri"/>
          <w:lang w:val="hr-HR"/>
        </w:rPr>
        <w:t xml:space="preserve">komercijalnog tipa, obično zahtijeva kombiniranje s tradicionalnim oblikom </w:t>
      </w:r>
      <w:r>
        <w:rPr>
          <w:rFonts w:ascii="Calibri" w:hAnsi="Calibri" w:cs="Calibri"/>
          <w:lang w:val="hr-HR"/>
        </w:rPr>
        <w:lastRenderedPageBreak/>
        <w:t>financiranja bespovratnim sredstvima u urbanim područjima suočenim s ozbiljnim izazovima u pogledu razvoja</w:t>
      </w:r>
      <w:r w:rsidRPr="00EA7FD9">
        <w:rPr>
          <w:rFonts w:ascii="Calibri" w:hAnsi="Calibri" w:cs="Calibri"/>
          <w:lang w:val="hr-HR"/>
        </w:rPr>
        <w:t>.</w:t>
      </w:r>
    </w:p>
    <w:p w14:paraId="22167454" w14:textId="77777777" w:rsidR="00132E7D" w:rsidRPr="00EA7FD9" w:rsidRDefault="00132E7D" w:rsidP="00F030D3">
      <w:pPr>
        <w:spacing w:before="40" w:after="40" w:line="300" w:lineRule="auto"/>
        <w:rPr>
          <w:rFonts w:ascii="Calibri" w:hAnsi="Calibri" w:cs="Calibri"/>
          <w:lang w:val="hr-HR"/>
        </w:rPr>
      </w:pPr>
      <w:r>
        <w:rPr>
          <w:rFonts w:ascii="Calibri" w:hAnsi="Calibri" w:cs="Calibri"/>
          <w:lang w:val="hr-HR"/>
        </w:rPr>
        <w:t>U donjoj je tablici iznesen sažetak rezultata studije</w:t>
      </w:r>
      <w:r w:rsidRPr="00EA7FD9">
        <w:rPr>
          <w:rFonts w:ascii="Calibri" w:hAnsi="Calibri" w:cs="Calibri"/>
          <w:lang w:val="hr-HR"/>
        </w:rPr>
        <w:t xml:space="preserve"> AEIDL</w:t>
      </w:r>
      <w:r>
        <w:rPr>
          <w:rFonts w:ascii="Calibri" w:hAnsi="Calibri" w:cs="Calibri"/>
          <w:lang w:val="hr-HR"/>
        </w:rPr>
        <w:t>-a</w:t>
      </w:r>
      <w:r w:rsidRPr="00EA7FD9">
        <w:rPr>
          <w:rFonts w:ascii="Calibri" w:hAnsi="Calibri" w:cs="Calibri"/>
          <w:lang w:val="hr-HR"/>
        </w:rPr>
        <w:t xml:space="preserve"> </w:t>
      </w:r>
      <w:r>
        <w:rPr>
          <w:rFonts w:ascii="Calibri" w:hAnsi="Calibri" w:cs="Calibri"/>
          <w:lang w:val="hr-HR"/>
        </w:rPr>
        <w:t>o fondovima poput</w:t>
      </w:r>
      <w:r w:rsidRPr="00EA7FD9">
        <w:rPr>
          <w:rFonts w:ascii="Calibri" w:hAnsi="Calibri" w:cs="Calibri"/>
          <w:lang w:val="hr-HR"/>
        </w:rPr>
        <w:t xml:space="preserve"> JESSICA</w:t>
      </w:r>
      <w:r>
        <w:rPr>
          <w:rFonts w:ascii="Calibri" w:hAnsi="Calibri" w:cs="Calibri"/>
          <w:lang w:val="hr-HR"/>
        </w:rPr>
        <w:t>-e</w:t>
      </w:r>
      <w:r w:rsidRPr="00EA7FD9">
        <w:rPr>
          <w:rFonts w:ascii="Calibri" w:hAnsi="Calibri" w:cs="Calibri"/>
          <w:lang w:val="hr-HR"/>
        </w:rPr>
        <w:t>.</w:t>
      </w:r>
    </w:p>
    <w:p w14:paraId="52797269" w14:textId="77777777" w:rsidR="00132E7D" w:rsidRPr="00EA7FD9" w:rsidRDefault="00132E7D" w:rsidP="00F030D3">
      <w:pPr>
        <w:spacing w:before="40" w:after="40" w:line="300" w:lineRule="auto"/>
        <w:jc w:val="center"/>
        <w:rPr>
          <w:rFonts w:ascii="Calibri" w:hAnsi="Calibri" w:cs="Calibri"/>
          <w:b/>
          <w:bCs/>
          <w:sz w:val="20"/>
          <w:szCs w:val="20"/>
          <w:lang w:val="hr-H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32E7D" w:rsidRPr="00CF2B98" w14:paraId="16C9F9C0" w14:textId="77777777">
        <w:tc>
          <w:tcPr>
            <w:tcW w:w="9016" w:type="dxa"/>
          </w:tcPr>
          <w:p w14:paraId="18271351" w14:textId="77777777" w:rsidR="00132E7D" w:rsidRPr="00EA7FD9" w:rsidRDefault="00132E7D" w:rsidP="00F030D3">
            <w:pPr>
              <w:spacing w:before="40" w:after="40" w:line="300" w:lineRule="auto"/>
              <w:jc w:val="center"/>
              <w:rPr>
                <w:rFonts w:ascii="Calibri" w:hAnsi="Calibri" w:cs="Calibri"/>
                <w:b/>
                <w:bCs/>
                <w:sz w:val="20"/>
                <w:szCs w:val="20"/>
                <w:lang w:val="hr-HR"/>
              </w:rPr>
            </w:pPr>
            <w:r>
              <w:rPr>
                <w:rFonts w:ascii="Calibri" w:hAnsi="Calibri" w:cs="Calibri"/>
                <w:b/>
                <w:bCs/>
                <w:sz w:val="20"/>
                <w:szCs w:val="20"/>
                <w:lang w:val="hr-HR"/>
              </w:rPr>
              <w:t>Neki od zaključaka</w:t>
            </w:r>
            <w:r w:rsidRPr="00EA7FD9">
              <w:rPr>
                <w:rFonts w:ascii="Calibri" w:hAnsi="Calibri" w:cs="Calibri"/>
                <w:b/>
                <w:bCs/>
                <w:sz w:val="20"/>
                <w:szCs w:val="20"/>
                <w:lang w:val="hr-HR"/>
              </w:rPr>
              <w:t xml:space="preserve"> – </w:t>
            </w:r>
            <w:r>
              <w:rPr>
                <w:rFonts w:ascii="Calibri" w:hAnsi="Calibri" w:cs="Calibri"/>
                <w:b/>
                <w:bCs/>
                <w:sz w:val="20"/>
                <w:szCs w:val="20"/>
                <w:lang w:val="hr-HR"/>
              </w:rPr>
              <w:t>uloga fondova tipa</w:t>
            </w:r>
            <w:r w:rsidRPr="00EA7FD9">
              <w:rPr>
                <w:rFonts w:ascii="Calibri" w:hAnsi="Calibri" w:cs="Calibri"/>
                <w:b/>
                <w:bCs/>
                <w:sz w:val="20"/>
                <w:szCs w:val="20"/>
                <w:lang w:val="hr-HR"/>
              </w:rPr>
              <w:t xml:space="preserve"> JESSICA</w:t>
            </w:r>
            <w:r w:rsidRPr="00EA7FD9">
              <w:rPr>
                <w:rFonts w:ascii="Calibri" w:hAnsi="Calibri" w:cs="Calibri"/>
                <w:b/>
                <w:bCs/>
                <w:sz w:val="20"/>
                <w:szCs w:val="20"/>
                <w:lang w:val="hr-HR"/>
              </w:rPr>
              <w:br/>
            </w:r>
            <w:r>
              <w:rPr>
                <w:rFonts w:ascii="Calibri" w:hAnsi="Calibri" w:cs="Calibri"/>
                <w:b/>
                <w:bCs/>
                <w:sz w:val="20"/>
                <w:szCs w:val="20"/>
                <w:lang w:val="hr-HR"/>
              </w:rPr>
              <w:t>Izvor:</w:t>
            </w:r>
            <w:r w:rsidRPr="00EA7FD9">
              <w:rPr>
                <w:rFonts w:ascii="Calibri" w:hAnsi="Calibri" w:cs="Calibri"/>
                <w:b/>
                <w:bCs/>
                <w:sz w:val="20"/>
                <w:szCs w:val="20"/>
                <w:lang w:val="hr-HR"/>
              </w:rPr>
              <w:t xml:space="preserve"> AEIDL – 2013</w:t>
            </w:r>
            <w:r>
              <w:rPr>
                <w:rFonts w:ascii="Calibri" w:hAnsi="Calibri" w:cs="Calibri"/>
                <w:b/>
                <w:bCs/>
                <w:sz w:val="20"/>
                <w:szCs w:val="20"/>
                <w:lang w:val="hr-HR"/>
              </w:rPr>
              <w:t>.</w:t>
            </w:r>
          </w:p>
          <w:p w14:paraId="2E1CD6DB" w14:textId="446445B1" w:rsidR="00132E7D" w:rsidRPr="00EA7FD9" w:rsidRDefault="00132E7D" w:rsidP="00F030D3">
            <w:pPr>
              <w:numPr>
                <w:ilvl w:val="0"/>
                <w:numId w:val="15"/>
              </w:numPr>
              <w:spacing w:before="40" w:after="40" w:line="300" w:lineRule="auto"/>
              <w:ind w:left="714" w:hanging="357"/>
              <w:rPr>
                <w:rFonts w:ascii="Calibri" w:hAnsi="Calibri" w:cs="Calibri"/>
                <w:sz w:val="20"/>
                <w:szCs w:val="20"/>
                <w:lang w:val="hr-HR"/>
              </w:rPr>
            </w:pPr>
            <w:r>
              <w:rPr>
                <w:rFonts w:ascii="Calibri" w:hAnsi="Calibri" w:cs="Calibri"/>
                <w:sz w:val="20"/>
                <w:szCs w:val="20"/>
                <w:lang w:val="hr-HR"/>
              </w:rPr>
              <w:t xml:space="preserve">Izgledno je da će fondovi poput </w:t>
            </w:r>
            <w:r w:rsidRPr="00EA7FD9">
              <w:rPr>
                <w:rFonts w:ascii="Calibri" w:hAnsi="Calibri" w:cs="Calibri"/>
                <w:sz w:val="20"/>
                <w:szCs w:val="20"/>
                <w:lang w:val="hr-HR"/>
              </w:rPr>
              <w:t>JESSICA</w:t>
            </w:r>
            <w:r>
              <w:rPr>
                <w:rFonts w:ascii="Calibri" w:hAnsi="Calibri" w:cs="Calibri"/>
                <w:sz w:val="20"/>
                <w:szCs w:val="20"/>
                <w:lang w:val="hr-HR"/>
              </w:rPr>
              <w:t>-e</w:t>
            </w:r>
            <w:r w:rsidRPr="00EA7FD9">
              <w:rPr>
                <w:rFonts w:ascii="Calibri" w:hAnsi="Calibri" w:cs="Calibri"/>
                <w:sz w:val="20"/>
                <w:szCs w:val="20"/>
                <w:lang w:val="hr-HR"/>
              </w:rPr>
              <w:t xml:space="preserve"> </w:t>
            </w:r>
            <w:r>
              <w:rPr>
                <w:rFonts w:ascii="Calibri" w:hAnsi="Calibri" w:cs="Calibri"/>
                <w:sz w:val="20"/>
                <w:szCs w:val="20"/>
                <w:lang w:val="hr-HR"/>
              </w:rPr>
              <w:t>donositi koristi</w:t>
            </w:r>
            <w:r w:rsidRPr="00EA7FD9">
              <w:rPr>
                <w:rFonts w:ascii="Calibri" w:hAnsi="Calibri" w:cs="Calibri"/>
                <w:sz w:val="20"/>
                <w:szCs w:val="20"/>
                <w:lang w:val="hr-HR"/>
              </w:rPr>
              <w:t xml:space="preserve"> </w:t>
            </w:r>
            <w:r>
              <w:rPr>
                <w:rFonts w:ascii="Calibri" w:hAnsi="Calibri" w:cs="Calibri"/>
                <w:sz w:val="20"/>
                <w:szCs w:val="20"/>
                <w:lang w:val="hr-HR"/>
              </w:rPr>
              <w:t>za projekte koji su gotovo komercijalno održivi</w:t>
            </w:r>
            <w:r w:rsidRPr="00EA7FD9">
              <w:rPr>
                <w:rFonts w:ascii="Calibri" w:hAnsi="Calibri" w:cs="Calibri"/>
                <w:sz w:val="20"/>
                <w:szCs w:val="20"/>
                <w:lang w:val="hr-HR"/>
              </w:rPr>
              <w:t xml:space="preserve"> </w:t>
            </w:r>
            <w:r>
              <w:rPr>
                <w:rFonts w:ascii="Calibri" w:hAnsi="Calibri" w:cs="Calibri"/>
                <w:sz w:val="20"/>
                <w:szCs w:val="20"/>
                <w:lang w:val="hr-HR"/>
              </w:rPr>
              <w:t>–</w:t>
            </w:r>
            <w:r w:rsidRPr="00EA7FD9">
              <w:rPr>
                <w:rFonts w:ascii="Calibri" w:hAnsi="Calibri" w:cs="Calibri"/>
                <w:sz w:val="20"/>
                <w:szCs w:val="20"/>
                <w:lang w:val="hr-HR"/>
              </w:rPr>
              <w:t xml:space="preserve"> t</w:t>
            </w:r>
            <w:r>
              <w:rPr>
                <w:rFonts w:ascii="Calibri" w:hAnsi="Calibri" w:cs="Calibri"/>
                <w:sz w:val="20"/>
                <w:szCs w:val="20"/>
                <w:lang w:val="hr-HR"/>
              </w:rPr>
              <w:t xml:space="preserve">akvi </w:t>
            </w:r>
            <w:r w:rsidRPr="00EA7FD9">
              <w:rPr>
                <w:rFonts w:ascii="Calibri" w:hAnsi="Calibri" w:cs="Calibri"/>
                <w:b/>
                <w:bCs/>
                <w:sz w:val="20"/>
                <w:szCs w:val="20"/>
                <w:lang w:val="hr-HR"/>
              </w:rPr>
              <w:t>proje</w:t>
            </w:r>
            <w:r>
              <w:rPr>
                <w:rFonts w:ascii="Calibri" w:hAnsi="Calibri" w:cs="Calibri"/>
                <w:b/>
                <w:bCs/>
                <w:sz w:val="20"/>
                <w:szCs w:val="20"/>
                <w:lang w:val="hr-HR"/>
              </w:rPr>
              <w:t>kti mogu ostvariti povrat ulaganja u fond za urbani razvoj, dok još uvijek predstavljaju prevelik rizik za privatni</w:t>
            </w:r>
            <w:r w:rsidRPr="00EA7FD9">
              <w:rPr>
                <w:rFonts w:ascii="Calibri" w:hAnsi="Calibri" w:cs="Calibri"/>
                <w:b/>
                <w:bCs/>
                <w:sz w:val="20"/>
                <w:szCs w:val="20"/>
                <w:lang w:val="hr-HR"/>
              </w:rPr>
              <w:t xml:space="preserve"> se</w:t>
            </w:r>
            <w:r>
              <w:rPr>
                <w:rFonts w:ascii="Calibri" w:hAnsi="Calibri" w:cs="Calibri"/>
                <w:b/>
                <w:bCs/>
                <w:sz w:val="20"/>
                <w:szCs w:val="20"/>
                <w:lang w:val="hr-HR"/>
              </w:rPr>
              <w:t>k</w:t>
            </w:r>
            <w:r w:rsidRPr="00EA7FD9">
              <w:rPr>
                <w:rFonts w:ascii="Calibri" w:hAnsi="Calibri" w:cs="Calibri"/>
                <w:b/>
                <w:bCs/>
                <w:sz w:val="20"/>
                <w:szCs w:val="20"/>
                <w:lang w:val="hr-HR"/>
              </w:rPr>
              <w:t>tor</w:t>
            </w:r>
            <w:r>
              <w:rPr>
                <w:rFonts w:ascii="Calibri" w:hAnsi="Calibri" w:cs="Calibri"/>
                <w:b/>
                <w:bCs/>
                <w:sz w:val="20"/>
                <w:szCs w:val="20"/>
                <w:lang w:val="hr-HR"/>
              </w:rPr>
              <w:t>.</w:t>
            </w:r>
          </w:p>
          <w:p w14:paraId="236B4D87" w14:textId="77777777" w:rsidR="00132E7D" w:rsidRPr="00EA7FD9" w:rsidRDefault="00132E7D" w:rsidP="00F030D3">
            <w:pPr>
              <w:numPr>
                <w:ilvl w:val="0"/>
                <w:numId w:val="15"/>
              </w:numPr>
              <w:spacing w:before="40" w:after="40" w:line="300" w:lineRule="auto"/>
              <w:ind w:left="714" w:hanging="357"/>
              <w:rPr>
                <w:rFonts w:ascii="Calibri" w:hAnsi="Calibri" w:cs="Calibri"/>
                <w:sz w:val="20"/>
                <w:szCs w:val="20"/>
                <w:lang w:val="hr-HR"/>
              </w:rPr>
            </w:pPr>
            <w:r>
              <w:rPr>
                <w:rFonts w:ascii="Calibri" w:hAnsi="Calibri" w:cs="Calibri"/>
                <w:sz w:val="20"/>
                <w:szCs w:val="20"/>
                <w:lang w:val="hr-HR"/>
              </w:rPr>
              <w:t xml:space="preserve">Izgledno je da će se fondovi </w:t>
            </w:r>
            <w:r w:rsidRPr="00B26371">
              <w:rPr>
                <w:rFonts w:ascii="Calibri" w:hAnsi="Calibri" w:cs="Calibri"/>
                <w:sz w:val="20"/>
                <w:szCs w:val="20"/>
                <w:lang w:val="hr-HR"/>
              </w:rPr>
              <w:t>poput JESSICA-e</w:t>
            </w:r>
            <w:r w:rsidRPr="00B26371" w:rsidDel="00B26371">
              <w:rPr>
                <w:rFonts w:ascii="Calibri" w:hAnsi="Calibri" w:cs="Calibri"/>
                <w:sz w:val="20"/>
                <w:szCs w:val="20"/>
                <w:lang w:val="hr-HR"/>
              </w:rPr>
              <w:t xml:space="preserve"> </w:t>
            </w:r>
            <w:r>
              <w:rPr>
                <w:rFonts w:ascii="Calibri" w:hAnsi="Calibri" w:cs="Calibri"/>
                <w:sz w:val="20"/>
                <w:szCs w:val="20"/>
                <w:lang w:val="hr-HR"/>
              </w:rPr>
              <w:t xml:space="preserve">prije </w:t>
            </w:r>
            <w:r w:rsidRPr="00FD66B1">
              <w:rPr>
                <w:rFonts w:ascii="Calibri" w:hAnsi="Calibri" w:cs="Calibri"/>
                <w:sz w:val="20"/>
                <w:szCs w:val="20"/>
                <w:lang w:val="hr-HR"/>
              </w:rPr>
              <w:t xml:space="preserve">koristiti </w:t>
            </w:r>
            <w:r>
              <w:rPr>
                <w:rFonts w:ascii="Calibri" w:hAnsi="Calibri" w:cs="Calibri"/>
                <w:sz w:val="20"/>
                <w:szCs w:val="20"/>
                <w:lang w:val="hr-HR"/>
              </w:rPr>
              <w:t>za ulaganja u</w:t>
            </w:r>
            <w:r w:rsidRPr="00EA7FD9">
              <w:rPr>
                <w:rFonts w:ascii="Calibri" w:hAnsi="Calibri" w:cs="Calibri"/>
                <w:sz w:val="20"/>
                <w:szCs w:val="20"/>
                <w:lang w:val="hr-HR"/>
              </w:rPr>
              <w:t xml:space="preserve"> </w:t>
            </w:r>
            <w:r>
              <w:rPr>
                <w:rFonts w:ascii="Calibri" w:hAnsi="Calibri" w:cs="Calibri"/>
                <w:b/>
                <w:bCs/>
                <w:sz w:val="20"/>
                <w:szCs w:val="20"/>
                <w:lang w:val="hr-HR"/>
              </w:rPr>
              <w:t>pojedinačne projekte</w:t>
            </w:r>
            <w:r w:rsidRPr="004C3144">
              <w:rPr>
                <w:rFonts w:ascii="Calibri" w:hAnsi="Calibri" w:cs="Calibri"/>
                <w:sz w:val="20"/>
                <w:szCs w:val="20"/>
                <w:lang w:val="hr-HR"/>
              </w:rPr>
              <w:t>,</w:t>
            </w:r>
            <w:r w:rsidRPr="00EA7FD9">
              <w:rPr>
                <w:rFonts w:ascii="Calibri" w:hAnsi="Calibri" w:cs="Calibri"/>
                <w:b/>
                <w:bCs/>
                <w:sz w:val="20"/>
                <w:szCs w:val="20"/>
                <w:lang w:val="hr-HR"/>
              </w:rPr>
              <w:t xml:space="preserve"> </w:t>
            </w:r>
            <w:r>
              <w:rPr>
                <w:rFonts w:ascii="Calibri" w:hAnsi="Calibri" w:cs="Calibri"/>
                <w:sz w:val="20"/>
                <w:szCs w:val="20"/>
                <w:lang w:val="hr-HR"/>
              </w:rPr>
              <w:t>nego za financiranje sveobuhvatnog i opsežnog pristupa za određeno područje koji obuhvaća velik broj dopunskih projekata.</w:t>
            </w:r>
          </w:p>
          <w:p w14:paraId="6689EFD5" w14:textId="77777777" w:rsidR="00132E7D" w:rsidRPr="00EA7FD9" w:rsidRDefault="00132E7D" w:rsidP="00F030D3">
            <w:pPr>
              <w:numPr>
                <w:ilvl w:val="0"/>
                <w:numId w:val="15"/>
              </w:numPr>
              <w:spacing w:before="40" w:after="40" w:line="300" w:lineRule="auto"/>
              <w:ind w:left="714" w:hanging="357"/>
              <w:rPr>
                <w:rFonts w:ascii="Calibri" w:hAnsi="Calibri" w:cs="Calibri"/>
                <w:sz w:val="20"/>
                <w:szCs w:val="20"/>
                <w:lang w:val="hr-HR"/>
              </w:rPr>
            </w:pPr>
            <w:r>
              <w:rPr>
                <w:rFonts w:ascii="Calibri" w:hAnsi="Calibri" w:cs="Calibri"/>
                <w:sz w:val="20"/>
                <w:szCs w:val="20"/>
                <w:lang w:val="hr-HR"/>
              </w:rPr>
              <w:t xml:space="preserve">Izgledno je da će </w:t>
            </w:r>
            <w:r>
              <w:rPr>
                <w:rFonts w:ascii="Calibri" w:hAnsi="Calibri" w:cs="Calibri"/>
                <w:b/>
                <w:bCs/>
                <w:sz w:val="20"/>
                <w:szCs w:val="20"/>
                <w:lang w:val="hr-HR"/>
              </w:rPr>
              <w:t xml:space="preserve">fondovi </w:t>
            </w:r>
            <w:r w:rsidRPr="0030601D">
              <w:rPr>
                <w:rFonts w:ascii="Calibri" w:hAnsi="Calibri" w:cs="Calibri"/>
                <w:b/>
                <w:bCs/>
                <w:sz w:val="20"/>
                <w:szCs w:val="20"/>
                <w:lang w:val="hr-HR"/>
              </w:rPr>
              <w:t>poput JESSICA-e</w:t>
            </w:r>
            <w:r w:rsidDel="00B26371">
              <w:rPr>
                <w:rFonts w:ascii="Calibri" w:hAnsi="Calibri" w:cs="Calibri"/>
                <w:b/>
                <w:bCs/>
                <w:sz w:val="20"/>
                <w:szCs w:val="20"/>
                <w:lang w:val="hr-HR"/>
              </w:rPr>
              <w:t xml:space="preserve"> </w:t>
            </w:r>
            <w:r w:rsidRPr="00EA7FD9">
              <w:rPr>
                <w:rFonts w:ascii="Calibri" w:hAnsi="Calibri" w:cs="Calibri"/>
                <w:b/>
                <w:bCs/>
                <w:sz w:val="20"/>
                <w:szCs w:val="20"/>
                <w:lang w:val="hr-HR"/>
              </w:rPr>
              <w:t>sele</w:t>
            </w:r>
            <w:r>
              <w:rPr>
                <w:rFonts w:ascii="Calibri" w:hAnsi="Calibri" w:cs="Calibri"/>
                <w:b/>
                <w:bCs/>
                <w:sz w:val="20"/>
                <w:szCs w:val="20"/>
                <w:lang w:val="hr-HR"/>
              </w:rPr>
              <w:t>ktivno ulagati u financijski održivije projekte</w:t>
            </w:r>
            <w:r w:rsidRPr="00EA7FD9">
              <w:rPr>
                <w:rFonts w:ascii="Calibri" w:hAnsi="Calibri" w:cs="Calibri"/>
                <w:sz w:val="20"/>
                <w:szCs w:val="20"/>
                <w:lang w:val="hr-HR"/>
              </w:rPr>
              <w:t xml:space="preserve">, </w:t>
            </w:r>
            <w:r>
              <w:rPr>
                <w:rFonts w:ascii="Calibri" w:hAnsi="Calibri" w:cs="Calibri"/>
                <w:sz w:val="20"/>
                <w:szCs w:val="20"/>
                <w:lang w:val="hr-HR"/>
              </w:rPr>
              <w:t>ostavljajući druge ključne elemente</w:t>
            </w:r>
            <w:r w:rsidRPr="00EA7FD9">
              <w:rPr>
                <w:rFonts w:ascii="Calibri" w:hAnsi="Calibri" w:cs="Calibri"/>
                <w:sz w:val="20"/>
                <w:szCs w:val="20"/>
                <w:lang w:val="hr-HR"/>
              </w:rPr>
              <w:t xml:space="preserve"> </w:t>
            </w:r>
            <w:r>
              <w:rPr>
                <w:rFonts w:ascii="Calibri" w:hAnsi="Calibri" w:cs="Calibri"/>
                <w:sz w:val="20"/>
                <w:szCs w:val="20"/>
                <w:lang w:val="hr-HR"/>
              </w:rPr>
              <w:t>okvirnog</w:t>
            </w:r>
            <w:r w:rsidRPr="00EA7FD9">
              <w:rPr>
                <w:rFonts w:ascii="Calibri" w:hAnsi="Calibri" w:cs="Calibri"/>
                <w:sz w:val="20"/>
                <w:szCs w:val="20"/>
                <w:lang w:val="hr-HR"/>
              </w:rPr>
              <w:t xml:space="preserve"> plan</w:t>
            </w:r>
            <w:r>
              <w:rPr>
                <w:rFonts w:ascii="Calibri" w:hAnsi="Calibri" w:cs="Calibri"/>
                <w:sz w:val="20"/>
                <w:szCs w:val="20"/>
                <w:lang w:val="hr-HR"/>
              </w:rPr>
              <w:t xml:space="preserve">a, poput prometa, </w:t>
            </w:r>
            <w:r w:rsidRPr="00FD66B1">
              <w:rPr>
                <w:rFonts w:ascii="Calibri" w:hAnsi="Calibri" w:cs="Calibri"/>
                <w:sz w:val="20"/>
                <w:szCs w:val="20"/>
                <w:lang w:val="hr-HR"/>
              </w:rPr>
              <w:t>javne infrastrukture i</w:t>
            </w:r>
            <w:r w:rsidRPr="00EA7FD9">
              <w:rPr>
                <w:rFonts w:ascii="Calibri" w:hAnsi="Calibri" w:cs="Calibri"/>
                <w:sz w:val="20"/>
                <w:szCs w:val="20"/>
                <w:lang w:val="hr-HR"/>
              </w:rPr>
              <w:t xml:space="preserve"> </w:t>
            </w:r>
            <w:r>
              <w:rPr>
                <w:rFonts w:ascii="Calibri" w:hAnsi="Calibri" w:cs="Calibri"/>
                <w:sz w:val="20"/>
                <w:szCs w:val="20"/>
                <w:lang w:val="hr-HR"/>
              </w:rPr>
              <w:t>socijalnih ulaganja</w:t>
            </w:r>
            <w:r w:rsidRPr="00EA7FD9">
              <w:rPr>
                <w:rFonts w:ascii="Calibri" w:hAnsi="Calibri" w:cs="Calibri"/>
                <w:sz w:val="20"/>
                <w:szCs w:val="20"/>
                <w:lang w:val="hr-HR"/>
              </w:rPr>
              <w:t xml:space="preserve"> </w:t>
            </w:r>
            <w:r>
              <w:rPr>
                <w:rFonts w:ascii="Calibri" w:hAnsi="Calibri" w:cs="Calibri"/>
                <w:sz w:val="20"/>
                <w:szCs w:val="20"/>
                <w:lang w:val="hr-HR"/>
              </w:rPr>
              <w:t>tijelima javnih vlasti.</w:t>
            </w:r>
          </w:p>
          <w:p w14:paraId="54C2BCA2" w14:textId="77777777" w:rsidR="00132E7D" w:rsidRPr="00EA7FD9" w:rsidRDefault="00132E7D" w:rsidP="00F030D3">
            <w:pPr>
              <w:numPr>
                <w:ilvl w:val="0"/>
                <w:numId w:val="16"/>
              </w:numPr>
              <w:spacing w:before="40" w:after="40" w:line="300" w:lineRule="auto"/>
              <w:ind w:left="714" w:hanging="357"/>
              <w:rPr>
                <w:rFonts w:ascii="Calibri" w:hAnsi="Calibri" w:cs="Calibri"/>
                <w:sz w:val="20"/>
                <w:szCs w:val="20"/>
                <w:lang w:val="hr-HR"/>
              </w:rPr>
            </w:pPr>
            <w:r>
              <w:rPr>
                <w:rFonts w:ascii="Calibri" w:hAnsi="Calibri" w:cs="Calibri"/>
                <w:sz w:val="20"/>
                <w:szCs w:val="20"/>
                <w:lang w:val="hr-HR"/>
              </w:rPr>
              <w:t xml:space="preserve">Veliki i složeni projekti vjerojatno će prije zahtijevati </w:t>
            </w:r>
            <w:r>
              <w:rPr>
                <w:rFonts w:ascii="Calibri" w:hAnsi="Calibri" w:cs="Calibri"/>
                <w:b/>
                <w:bCs/>
                <w:sz w:val="20"/>
                <w:szCs w:val="20"/>
                <w:lang w:val="hr-HR"/>
              </w:rPr>
              <w:t>kombinaciju bespovratnih sredstava</w:t>
            </w:r>
            <w:r w:rsidRPr="00EA7FD9">
              <w:rPr>
                <w:rFonts w:ascii="Calibri" w:hAnsi="Calibri" w:cs="Calibri"/>
                <w:b/>
                <w:bCs/>
                <w:sz w:val="20"/>
                <w:szCs w:val="20"/>
                <w:lang w:val="hr-HR"/>
              </w:rPr>
              <w:t xml:space="preserve">, </w:t>
            </w:r>
            <w:r>
              <w:rPr>
                <w:rFonts w:ascii="Calibri" w:hAnsi="Calibri" w:cs="Calibri"/>
                <w:b/>
                <w:bCs/>
                <w:sz w:val="20"/>
                <w:szCs w:val="20"/>
                <w:lang w:val="hr-HR"/>
              </w:rPr>
              <w:t>zajmova i vlasničkih</w:t>
            </w:r>
            <w:r w:rsidRPr="00EA7FD9">
              <w:rPr>
                <w:rFonts w:ascii="Calibri" w:hAnsi="Calibri" w:cs="Calibri"/>
                <w:b/>
                <w:bCs/>
                <w:sz w:val="20"/>
                <w:szCs w:val="20"/>
                <w:lang w:val="hr-HR"/>
              </w:rPr>
              <w:t xml:space="preserve"> instrumen</w:t>
            </w:r>
            <w:r>
              <w:rPr>
                <w:rFonts w:ascii="Calibri" w:hAnsi="Calibri" w:cs="Calibri"/>
                <w:b/>
                <w:bCs/>
                <w:sz w:val="20"/>
                <w:szCs w:val="20"/>
                <w:lang w:val="hr-HR"/>
              </w:rPr>
              <w:t>a</w:t>
            </w:r>
            <w:r w:rsidRPr="00EA7FD9">
              <w:rPr>
                <w:rFonts w:ascii="Calibri" w:hAnsi="Calibri" w:cs="Calibri"/>
                <w:b/>
                <w:bCs/>
                <w:sz w:val="20"/>
                <w:szCs w:val="20"/>
                <w:lang w:val="hr-HR"/>
              </w:rPr>
              <w:t>t</w:t>
            </w:r>
            <w:r>
              <w:rPr>
                <w:rFonts w:ascii="Calibri" w:hAnsi="Calibri" w:cs="Calibri"/>
                <w:b/>
                <w:bCs/>
                <w:sz w:val="20"/>
                <w:szCs w:val="20"/>
                <w:lang w:val="hr-HR"/>
              </w:rPr>
              <w:t>a,</w:t>
            </w:r>
            <w:r w:rsidRPr="00EA7FD9">
              <w:rPr>
                <w:rFonts w:ascii="Calibri" w:hAnsi="Calibri" w:cs="Calibri"/>
                <w:b/>
                <w:bCs/>
                <w:sz w:val="20"/>
                <w:szCs w:val="20"/>
                <w:lang w:val="hr-HR"/>
              </w:rPr>
              <w:t xml:space="preserve"> </w:t>
            </w:r>
            <w:r>
              <w:rPr>
                <w:rFonts w:ascii="Calibri" w:hAnsi="Calibri" w:cs="Calibri"/>
                <w:sz w:val="20"/>
                <w:szCs w:val="20"/>
                <w:lang w:val="hr-HR"/>
              </w:rPr>
              <w:t>nego osnivanje jednog fonda za urbani razvoj.</w:t>
            </w:r>
          </w:p>
          <w:p w14:paraId="4DCB6F2A" w14:textId="77777777" w:rsidR="00132E7D" w:rsidRPr="00EA7FD9" w:rsidRDefault="00132E7D" w:rsidP="00F030D3">
            <w:pPr>
              <w:numPr>
                <w:ilvl w:val="0"/>
                <w:numId w:val="16"/>
              </w:numPr>
              <w:spacing w:before="40" w:after="40" w:line="300" w:lineRule="auto"/>
              <w:ind w:left="714" w:hanging="357"/>
              <w:rPr>
                <w:rFonts w:ascii="Calibri" w:hAnsi="Calibri" w:cs="Calibri"/>
                <w:sz w:val="20"/>
                <w:szCs w:val="20"/>
                <w:lang w:val="hr-HR"/>
              </w:rPr>
            </w:pPr>
            <w:r>
              <w:rPr>
                <w:rFonts w:ascii="Calibri" w:hAnsi="Calibri" w:cs="Calibri"/>
                <w:sz w:val="20"/>
                <w:szCs w:val="20"/>
                <w:lang w:val="hr-HR"/>
              </w:rPr>
              <w:t xml:space="preserve">Fondovi poput </w:t>
            </w:r>
            <w:r w:rsidRPr="00EA7FD9">
              <w:rPr>
                <w:rFonts w:ascii="Calibri" w:hAnsi="Calibri" w:cs="Calibri"/>
                <w:sz w:val="20"/>
                <w:szCs w:val="20"/>
                <w:lang w:val="hr-HR"/>
              </w:rPr>
              <w:t>JESSICA</w:t>
            </w:r>
            <w:r>
              <w:rPr>
                <w:rFonts w:ascii="Calibri" w:hAnsi="Calibri" w:cs="Calibri"/>
                <w:sz w:val="20"/>
                <w:szCs w:val="20"/>
                <w:lang w:val="hr-HR"/>
              </w:rPr>
              <w:t>-e</w:t>
            </w:r>
            <w:r w:rsidDel="00B26371">
              <w:rPr>
                <w:rFonts w:ascii="Calibri" w:hAnsi="Calibri" w:cs="Calibri"/>
                <w:sz w:val="20"/>
                <w:szCs w:val="20"/>
                <w:lang w:val="hr-HR"/>
              </w:rPr>
              <w:t xml:space="preserve"> </w:t>
            </w:r>
            <w:r w:rsidRPr="0078245E">
              <w:rPr>
                <w:rFonts w:ascii="Calibri" w:hAnsi="Calibri" w:cs="Calibri"/>
                <w:b/>
                <w:bCs/>
                <w:sz w:val="20"/>
                <w:szCs w:val="20"/>
                <w:lang w:val="hr-HR"/>
              </w:rPr>
              <w:t>mogu osloboditi bespovratna</w:t>
            </w:r>
            <w:r>
              <w:rPr>
                <w:rFonts w:ascii="Calibri" w:hAnsi="Calibri" w:cs="Calibri"/>
                <w:b/>
                <w:bCs/>
                <w:sz w:val="20"/>
                <w:szCs w:val="20"/>
                <w:lang w:val="hr-HR"/>
              </w:rPr>
              <w:t xml:space="preserve"> sredstva</w:t>
            </w:r>
            <w:r w:rsidRPr="00EA7FD9">
              <w:rPr>
                <w:rFonts w:ascii="Calibri" w:hAnsi="Calibri" w:cs="Calibri"/>
                <w:b/>
                <w:bCs/>
                <w:sz w:val="20"/>
                <w:szCs w:val="20"/>
                <w:lang w:val="hr-HR"/>
              </w:rPr>
              <w:t xml:space="preserve"> </w:t>
            </w:r>
            <w:r w:rsidRPr="004C3144">
              <w:rPr>
                <w:rFonts w:ascii="Calibri" w:hAnsi="Calibri" w:cs="Calibri"/>
                <w:sz w:val="20"/>
                <w:szCs w:val="20"/>
                <w:lang w:val="hr-HR"/>
              </w:rPr>
              <w:t>u</w:t>
            </w:r>
            <w:r>
              <w:rPr>
                <w:rFonts w:ascii="Calibri" w:hAnsi="Calibri" w:cs="Calibri"/>
                <w:sz w:val="20"/>
                <w:szCs w:val="20"/>
                <w:lang w:val="hr-HR"/>
              </w:rPr>
              <w:t>nutar</w:t>
            </w:r>
            <w:r w:rsidRPr="00253E68">
              <w:rPr>
                <w:rFonts w:ascii="Calibri" w:hAnsi="Calibri" w:cs="Calibri"/>
                <w:sz w:val="20"/>
                <w:szCs w:val="20"/>
                <w:lang w:val="hr-HR"/>
              </w:rPr>
              <w:t xml:space="preserve"> program</w:t>
            </w:r>
            <w:r>
              <w:rPr>
                <w:rFonts w:ascii="Calibri" w:hAnsi="Calibri" w:cs="Calibri"/>
                <w:sz w:val="20"/>
                <w:szCs w:val="20"/>
                <w:lang w:val="hr-HR"/>
              </w:rPr>
              <w:t>a</w:t>
            </w:r>
            <w:r w:rsidRPr="00EA7FD9">
              <w:rPr>
                <w:rFonts w:ascii="Calibri" w:hAnsi="Calibri" w:cs="Calibri"/>
                <w:sz w:val="20"/>
                <w:szCs w:val="20"/>
                <w:lang w:val="hr-HR"/>
              </w:rPr>
              <w:t xml:space="preserve"> </w:t>
            </w:r>
            <w:r>
              <w:rPr>
                <w:rFonts w:ascii="Calibri" w:hAnsi="Calibri" w:cs="Calibri"/>
                <w:sz w:val="20"/>
                <w:szCs w:val="20"/>
                <w:lang w:val="hr-HR"/>
              </w:rPr>
              <w:t>ulaganjem u komercijalne nekretnine.</w:t>
            </w:r>
          </w:p>
          <w:p w14:paraId="10746FB5" w14:textId="77777777" w:rsidR="00132E7D" w:rsidRPr="00EA7FD9" w:rsidRDefault="00132E7D" w:rsidP="00F030D3">
            <w:pPr>
              <w:numPr>
                <w:ilvl w:val="0"/>
                <w:numId w:val="16"/>
              </w:numPr>
              <w:spacing w:before="40" w:after="40" w:line="300" w:lineRule="auto"/>
              <w:ind w:left="714" w:hanging="357"/>
              <w:rPr>
                <w:rFonts w:ascii="Calibri" w:hAnsi="Calibri" w:cs="Calibri"/>
                <w:sz w:val="20"/>
                <w:szCs w:val="20"/>
                <w:lang w:val="hr-HR"/>
              </w:rPr>
            </w:pPr>
            <w:r>
              <w:rPr>
                <w:rFonts w:ascii="Calibri" w:hAnsi="Calibri" w:cs="Calibri"/>
                <w:b/>
                <w:bCs/>
                <w:sz w:val="20"/>
                <w:szCs w:val="20"/>
                <w:lang w:val="hr-HR"/>
              </w:rPr>
              <w:t xml:space="preserve">Financiranje bespovratnim sredstvima </w:t>
            </w:r>
            <w:r>
              <w:rPr>
                <w:rFonts w:ascii="Calibri" w:hAnsi="Calibri" w:cs="Calibri"/>
                <w:sz w:val="20"/>
                <w:szCs w:val="20"/>
                <w:lang w:val="hr-HR"/>
              </w:rPr>
              <w:t>još uvijek će biti potrebno</w:t>
            </w:r>
            <w:r w:rsidRPr="00EA7FD9">
              <w:rPr>
                <w:rFonts w:ascii="Calibri" w:hAnsi="Calibri" w:cs="Calibri"/>
                <w:sz w:val="20"/>
                <w:szCs w:val="20"/>
                <w:lang w:val="hr-HR"/>
              </w:rPr>
              <w:t xml:space="preserve"> </w:t>
            </w:r>
            <w:r>
              <w:rPr>
                <w:rFonts w:ascii="Calibri" w:hAnsi="Calibri" w:cs="Calibri"/>
                <w:b/>
                <w:bCs/>
                <w:sz w:val="20"/>
                <w:szCs w:val="20"/>
                <w:lang w:val="hr-HR"/>
              </w:rPr>
              <w:t>kako bi se osigurala održivost ozbiljnije zapuštenih (</w:t>
            </w:r>
            <w:r w:rsidRPr="00253E68">
              <w:rPr>
                <w:rFonts w:ascii="Calibri" w:hAnsi="Calibri" w:cs="Calibri"/>
                <w:b/>
                <w:bCs/>
                <w:i/>
                <w:iCs/>
                <w:sz w:val="20"/>
                <w:szCs w:val="20"/>
                <w:lang w:val="hr-HR"/>
              </w:rPr>
              <w:t>brownfield</w:t>
            </w:r>
            <w:r>
              <w:rPr>
                <w:rFonts w:ascii="Calibri" w:hAnsi="Calibri" w:cs="Calibri"/>
                <w:b/>
                <w:bCs/>
                <w:sz w:val="20"/>
                <w:szCs w:val="20"/>
                <w:lang w:val="hr-HR"/>
              </w:rPr>
              <w:t>) lokacija.</w:t>
            </w:r>
          </w:p>
          <w:p w14:paraId="5DEE373D" w14:textId="77777777" w:rsidR="00132E7D" w:rsidRPr="00EA7FD9" w:rsidRDefault="00132E7D" w:rsidP="00F030D3">
            <w:pPr>
              <w:spacing w:before="40" w:after="40" w:line="300" w:lineRule="auto"/>
              <w:jc w:val="center"/>
              <w:rPr>
                <w:rFonts w:ascii="Calibri" w:hAnsi="Calibri" w:cs="Calibri"/>
                <w:b/>
                <w:bCs/>
                <w:sz w:val="20"/>
                <w:szCs w:val="20"/>
                <w:lang w:val="hr-HR"/>
              </w:rPr>
            </w:pPr>
          </w:p>
        </w:tc>
      </w:tr>
    </w:tbl>
    <w:p w14:paraId="5D7F0561" w14:textId="77777777" w:rsidR="00132E7D" w:rsidRPr="00EA7FD9" w:rsidRDefault="00132E7D" w:rsidP="00F030D3">
      <w:pPr>
        <w:spacing w:before="40" w:after="40" w:line="300" w:lineRule="auto"/>
        <w:jc w:val="center"/>
        <w:rPr>
          <w:rFonts w:ascii="Calibri" w:hAnsi="Calibri" w:cs="Calibri"/>
          <w:b/>
          <w:bCs/>
          <w:sz w:val="20"/>
          <w:szCs w:val="20"/>
          <w:lang w:val="hr-HR"/>
        </w:rPr>
      </w:pPr>
    </w:p>
    <w:p w14:paraId="6CFE30C7" w14:textId="77777777" w:rsidR="00132E7D" w:rsidRPr="00EA7FD9" w:rsidRDefault="00132E7D" w:rsidP="00F030D3">
      <w:pPr>
        <w:spacing w:before="40" w:after="40" w:line="300" w:lineRule="auto"/>
        <w:rPr>
          <w:rFonts w:ascii="Calibri" w:hAnsi="Calibri" w:cs="Calibri"/>
          <w:sz w:val="20"/>
          <w:szCs w:val="20"/>
          <w:lang w:val="hr-HR"/>
        </w:rPr>
      </w:pPr>
    </w:p>
    <w:p w14:paraId="6EA23AA0" w14:textId="77777777" w:rsidR="00132E7D" w:rsidRPr="00EA7FD9" w:rsidRDefault="00132E7D" w:rsidP="00F030D3">
      <w:pPr>
        <w:spacing w:before="40" w:after="40" w:line="300" w:lineRule="auto"/>
        <w:rPr>
          <w:rFonts w:ascii="Calibri" w:hAnsi="Calibri" w:cs="Calibri"/>
          <w:lang w:val="hr-HR"/>
        </w:rPr>
      </w:pPr>
    </w:p>
    <w:p w14:paraId="60B00189" w14:textId="77777777" w:rsidR="00132E7D" w:rsidRPr="00EA7FD9" w:rsidRDefault="00132E7D" w:rsidP="00F030D3">
      <w:pPr>
        <w:spacing w:before="40" w:after="40" w:line="300" w:lineRule="auto"/>
        <w:rPr>
          <w:rFonts w:ascii="Calibri" w:hAnsi="Calibri" w:cs="Calibri"/>
          <w:lang w:val="hr-HR"/>
        </w:rPr>
      </w:pPr>
    </w:p>
    <w:p w14:paraId="5B37D6E2" w14:textId="77777777" w:rsidR="00132E7D" w:rsidRPr="00EA7FD9" w:rsidRDefault="00132E7D" w:rsidP="00F030D3">
      <w:pPr>
        <w:spacing w:before="40" w:after="40" w:line="300" w:lineRule="auto"/>
        <w:rPr>
          <w:rFonts w:ascii="Calibri" w:hAnsi="Calibri" w:cs="Calibri"/>
          <w:lang w:val="hr-HR"/>
        </w:rPr>
      </w:pPr>
    </w:p>
    <w:p w14:paraId="083B8E72" w14:textId="77777777" w:rsidR="00132E7D" w:rsidRPr="00EA7FD9" w:rsidRDefault="00132E7D" w:rsidP="00F030D3">
      <w:pPr>
        <w:spacing w:before="40" w:after="40" w:line="300" w:lineRule="auto"/>
        <w:rPr>
          <w:rFonts w:ascii="Calibri" w:hAnsi="Calibri" w:cs="Calibri"/>
          <w:lang w:val="hr-HR"/>
        </w:rPr>
      </w:pPr>
    </w:p>
    <w:p w14:paraId="6FD465EE" w14:textId="77777777" w:rsidR="00132E7D" w:rsidRPr="00EA7FD9" w:rsidRDefault="00132E7D" w:rsidP="00F030D3">
      <w:pPr>
        <w:spacing w:before="40" w:after="40" w:line="300" w:lineRule="auto"/>
        <w:rPr>
          <w:rFonts w:ascii="Calibri" w:hAnsi="Calibri" w:cs="Calibri"/>
          <w:lang w:val="hr-HR"/>
        </w:rPr>
      </w:pPr>
    </w:p>
    <w:p w14:paraId="42575658" w14:textId="77777777" w:rsidR="00132E7D" w:rsidRPr="00EA7FD9" w:rsidRDefault="00132E7D" w:rsidP="00F030D3">
      <w:pPr>
        <w:spacing w:before="40" w:after="40" w:line="300" w:lineRule="auto"/>
        <w:rPr>
          <w:rFonts w:ascii="Calibri" w:hAnsi="Calibri" w:cs="Calibri"/>
          <w:lang w:val="hr-HR"/>
        </w:rPr>
      </w:pPr>
    </w:p>
    <w:p w14:paraId="2B98439D" w14:textId="77777777" w:rsidR="00132E7D" w:rsidRPr="00EA7FD9" w:rsidRDefault="00132E7D" w:rsidP="00F030D3">
      <w:pPr>
        <w:spacing w:before="40" w:after="40" w:line="300" w:lineRule="auto"/>
        <w:rPr>
          <w:rFonts w:ascii="Calibri" w:hAnsi="Calibri" w:cs="Calibri"/>
          <w:lang w:val="hr-HR"/>
        </w:rPr>
      </w:pPr>
    </w:p>
    <w:p w14:paraId="0B66A91E" w14:textId="77777777" w:rsidR="00132E7D" w:rsidRPr="00EA7FD9" w:rsidRDefault="00132E7D" w:rsidP="00F030D3">
      <w:pPr>
        <w:spacing w:before="40" w:after="40" w:line="300" w:lineRule="auto"/>
        <w:rPr>
          <w:rFonts w:ascii="Calibri" w:hAnsi="Calibri" w:cs="Calibri"/>
          <w:lang w:val="hr-HR"/>
        </w:rPr>
      </w:pPr>
    </w:p>
    <w:p w14:paraId="7C729785" w14:textId="77777777" w:rsidR="00132E7D" w:rsidRPr="00EA7FD9" w:rsidRDefault="00132E7D" w:rsidP="00F030D3">
      <w:pPr>
        <w:spacing w:before="40" w:after="40" w:line="300" w:lineRule="auto"/>
        <w:rPr>
          <w:rFonts w:ascii="Calibri" w:hAnsi="Calibri" w:cs="Calibri"/>
          <w:lang w:val="hr-HR"/>
        </w:rPr>
      </w:pPr>
    </w:p>
    <w:p w14:paraId="532BCF4A" w14:textId="77777777" w:rsidR="00132E7D" w:rsidRPr="00EA7FD9" w:rsidRDefault="00132E7D" w:rsidP="00F030D3">
      <w:pPr>
        <w:spacing w:before="40" w:after="40" w:line="300" w:lineRule="auto"/>
        <w:rPr>
          <w:rFonts w:ascii="Calibri" w:hAnsi="Calibri" w:cs="Calibri"/>
          <w:lang w:val="hr-HR"/>
        </w:rPr>
      </w:pPr>
    </w:p>
    <w:p w14:paraId="52BC1B08" w14:textId="77777777" w:rsidR="00132E7D" w:rsidRPr="00EA7FD9" w:rsidRDefault="00132E7D" w:rsidP="00F030D3">
      <w:pPr>
        <w:spacing w:before="40" w:after="40" w:line="300" w:lineRule="auto"/>
        <w:rPr>
          <w:rFonts w:ascii="Calibri" w:hAnsi="Calibri" w:cs="Calibri"/>
          <w:lang w:val="hr-HR"/>
        </w:rPr>
      </w:pPr>
    </w:p>
    <w:p w14:paraId="1565D0E2" w14:textId="77777777" w:rsidR="00132E7D" w:rsidRPr="00EA7FD9" w:rsidRDefault="00132E7D" w:rsidP="00F030D3">
      <w:pPr>
        <w:spacing w:before="40" w:after="40" w:line="300" w:lineRule="auto"/>
        <w:rPr>
          <w:rFonts w:ascii="Calibri" w:hAnsi="Calibri" w:cs="Calibri"/>
          <w:lang w:val="hr-HR"/>
        </w:rPr>
      </w:pPr>
    </w:p>
    <w:p w14:paraId="7E0B32CF" w14:textId="77777777" w:rsidR="00132E7D" w:rsidRPr="00EA7FD9" w:rsidRDefault="00132E7D" w:rsidP="00F030D3">
      <w:pPr>
        <w:spacing w:before="40" w:after="40" w:line="300" w:lineRule="auto"/>
        <w:rPr>
          <w:rFonts w:ascii="Calibri" w:hAnsi="Calibri" w:cs="Calibri"/>
          <w:lang w:val="hr-HR"/>
        </w:rPr>
      </w:pPr>
    </w:p>
    <w:p w14:paraId="0EA91EB2" w14:textId="77777777" w:rsidR="00132E7D" w:rsidRPr="00EA7FD9" w:rsidRDefault="00132E7D" w:rsidP="00F030D3">
      <w:pPr>
        <w:spacing w:before="40" w:after="40" w:line="300" w:lineRule="auto"/>
        <w:rPr>
          <w:rFonts w:ascii="Calibri" w:hAnsi="Calibri" w:cs="Calibri"/>
          <w:lang w:val="hr-HR"/>
        </w:rPr>
      </w:pPr>
    </w:p>
    <w:p w14:paraId="090B50EF" w14:textId="77777777" w:rsidR="00132E7D" w:rsidRPr="00EA7FD9" w:rsidRDefault="00132E7D" w:rsidP="00F030D3">
      <w:pPr>
        <w:spacing w:before="40" w:after="40" w:line="300" w:lineRule="auto"/>
        <w:rPr>
          <w:rFonts w:ascii="Calibri" w:hAnsi="Calibri" w:cs="Calibri"/>
          <w:sz w:val="28"/>
          <w:szCs w:val="28"/>
          <w:lang w:val="hr-HR"/>
        </w:rPr>
      </w:pPr>
      <w:r w:rsidRPr="00EA7FD9">
        <w:rPr>
          <w:rFonts w:ascii="Calibri" w:hAnsi="Calibri" w:cs="Calibri"/>
          <w:sz w:val="28"/>
          <w:szCs w:val="28"/>
          <w:lang w:val="hr-HR"/>
        </w:rPr>
        <w:br w:type="page"/>
      </w:r>
    </w:p>
    <w:p w14:paraId="122C9221" w14:textId="77777777" w:rsidR="00132E7D" w:rsidRPr="00EA7FD9" w:rsidRDefault="00132E7D" w:rsidP="00F030D3">
      <w:pPr>
        <w:pStyle w:val="14-Heading1"/>
        <w:spacing w:before="40" w:after="40" w:line="300" w:lineRule="auto"/>
        <w:rPr>
          <w:lang w:val="hr-HR"/>
        </w:rPr>
      </w:pPr>
      <w:bookmarkStart w:id="6" w:name="_Toc394052273"/>
      <w:r w:rsidRPr="00EA7FD9">
        <w:rPr>
          <w:lang w:val="hr-HR"/>
        </w:rPr>
        <w:lastRenderedPageBreak/>
        <w:t>4.</w:t>
      </w:r>
      <w:r w:rsidRPr="00EA7FD9">
        <w:rPr>
          <w:lang w:val="hr-HR"/>
        </w:rPr>
        <w:tab/>
      </w:r>
      <w:r>
        <w:rPr>
          <w:lang w:val="hr-HR"/>
        </w:rPr>
        <w:t>Uvjeti ulaganja u Hrvatskoj</w:t>
      </w:r>
      <w:bookmarkEnd w:id="6"/>
    </w:p>
    <w:p w14:paraId="52EEC365" w14:textId="77777777" w:rsidR="00132E7D" w:rsidRPr="00CF2B98" w:rsidRDefault="00132E7D" w:rsidP="00F030D3">
      <w:pPr>
        <w:pStyle w:val="14-Heading2"/>
        <w:spacing w:before="40" w:after="40" w:line="300" w:lineRule="auto"/>
        <w:rPr>
          <w:sz w:val="22"/>
          <w:szCs w:val="22"/>
          <w:lang w:val="hr-HR"/>
        </w:rPr>
      </w:pPr>
      <w:bookmarkStart w:id="7" w:name="_Toc394052274"/>
      <w:r w:rsidRPr="00CF2B98">
        <w:rPr>
          <w:sz w:val="22"/>
          <w:szCs w:val="22"/>
          <w:lang w:val="hr-HR"/>
        </w:rPr>
        <w:t>4.1</w:t>
      </w:r>
      <w:r w:rsidRPr="00CF2B98">
        <w:rPr>
          <w:sz w:val="22"/>
          <w:szCs w:val="22"/>
          <w:lang w:val="hr-HR"/>
        </w:rPr>
        <w:tab/>
        <w:t>Hrvatsko tržište komercijalnih nekretnina</w:t>
      </w:r>
      <w:bookmarkEnd w:id="7"/>
      <w:r w:rsidRPr="00CF2B98">
        <w:rPr>
          <w:sz w:val="22"/>
          <w:szCs w:val="22"/>
          <w:lang w:val="hr-HR"/>
        </w:rPr>
        <w:t xml:space="preserve"> </w:t>
      </w:r>
    </w:p>
    <w:p w14:paraId="2CCAD781" w14:textId="77777777" w:rsidR="00132E7D" w:rsidRPr="00EA7FD9" w:rsidRDefault="00132E7D" w:rsidP="00F030D3">
      <w:pPr>
        <w:spacing w:before="40" w:after="40" w:line="300" w:lineRule="auto"/>
        <w:rPr>
          <w:rFonts w:ascii="Calibri" w:hAnsi="Calibri" w:cs="Calibri"/>
          <w:lang w:val="hr-HR"/>
        </w:rPr>
      </w:pPr>
      <w:r>
        <w:rPr>
          <w:rFonts w:ascii="Calibri" w:hAnsi="Calibri" w:cs="Calibri"/>
          <w:lang w:val="hr-HR"/>
        </w:rPr>
        <w:t xml:space="preserve">Kao što je već spomenuto, </w:t>
      </w:r>
      <w:r w:rsidRPr="00EA7FD9">
        <w:rPr>
          <w:rFonts w:ascii="Calibri" w:hAnsi="Calibri" w:cs="Calibri"/>
          <w:lang w:val="hr-HR"/>
        </w:rPr>
        <w:t xml:space="preserve">JESSICA </w:t>
      </w:r>
      <w:r>
        <w:rPr>
          <w:rFonts w:ascii="Calibri" w:hAnsi="Calibri" w:cs="Calibri"/>
          <w:lang w:val="hr-HR"/>
        </w:rPr>
        <w:t>funkcionira u kontekstu tržišnog mehanizma</w:t>
      </w:r>
      <w:r w:rsidRPr="00EA7FD9">
        <w:rPr>
          <w:rFonts w:ascii="Calibri" w:hAnsi="Calibri" w:cs="Calibri"/>
          <w:lang w:val="hr-HR"/>
        </w:rPr>
        <w:t xml:space="preserve">. </w:t>
      </w:r>
      <w:r>
        <w:rPr>
          <w:rFonts w:ascii="Calibri" w:hAnsi="Calibri" w:cs="Calibri"/>
          <w:lang w:val="hr-HR"/>
        </w:rPr>
        <w:t>Stoga stupanj interesa za tržište nekretnina i postojanje tržišnog neuspjeha predstavljaju preduvjete za njezino korištenje u kontekstu tržišta komercijalnih nekretnina.</w:t>
      </w:r>
      <w:r w:rsidRPr="00EA7FD9">
        <w:rPr>
          <w:rFonts w:ascii="Calibri" w:hAnsi="Calibri" w:cs="Calibri"/>
          <w:lang w:val="hr-HR"/>
        </w:rPr>
        <w:t xml:space="preserve"> </w:t>
      </w:r>
    </w:p>
    <w:p w14:paraId="7CBA3338" w14:textId="3B53C85D" w:rsidR="00132E7D" w:rsidRPr="00EA7FD9" w:rsidRDefault="00132E7D" w:rsidP="00F030D3">
      <w:pPr>
        <w:spacing w:before="40" w:after="40" w:line="300" w:lineRule="auto"/>
        <w:rPr>
          <w:rFonts w:ascii="Calibri" w:hAnsi="Calibri" w:cs="Calibri"/>
          <w:lang w:val="hr-HR"/>
        </w:rPr>
      </w:pPr>
      <w:r>
        <w:rPr>
          <w:rFonts w:ascii="Calibri" w:hAnsi="Calibri" w:cs="Calibri"/>
          <w:lang w:val="hr-HR"/>
        </w:rPr>
        <w:t>Situacija na hrvatskom tržištu komercijalnih nekretnina istražena je kroz analizu tržišnih izvješća te konzultacijama sa stručnjacima iz ovog područja i predstavnicima komercijalnih banaka koji su izrazili vrlo slične stavove</w:t>
      </w:r>
      <w:r w:rsidRPr="00EA7FD9">
        <w:rPr>
          <w:rFonts w:ascii="Calibri" w:hAnsi="Calibri" w:cs="Calibri"/>
          <w:lang w:val="hr-HR"/>
        </w:rPr>
        <w:t xml:space="preserve">: </w:t>
      </w:r>
    </w:p>
    <w:p w14:paraId="0E4BF6DD" w14:textId="77777777" w:rsidR="00132E7D" w:rsidRPr="00EA7FD9" w:rsidRDefault="00132E7D" w:rsidP="00F030D3">
      <w:pPr>
        <w:pStyle w:val="ListParagraph"/>
        <w:numPr>
          <w:ilvl w:val="0"/>
          <w:numId w:val="27"/>
        </w:numPr>
        <w:spacing w:before="40" w:after="40" w:line="300" w:lineRule="auto"/>
        <w:ind w:left="357" w:hanging="357"/>
        <w:rPr>
          <w:rFonts w:ascii="Calibri" w:hAnsi="Calibri" w:cs="Calibri"/>
          <w:lang w:val="hr-HR"/>
        </w:rPr>
      </w:pPr>
      <w:r>
        <w:rPr>
          <w:rFonts w:ascii="Calibri" w:hAnsi="Calibri" w:cs="Calibri"/>
          <w:lang w:val="hr-HR"/>
        </w:rPr>
        <w:t>s obzirom na to da je Hrvatska u recesiji četvrtu godinu zaredom, aktivnosti razvoja komercijalnih nekretnina trenutačno su na vrlo niskoj razini;</w:t>
      </w:r>
      <w:r w:rsidRPr="00EA7FD9">
        <w:rPr>
          <w:rFonts w:ascii="Calibri" w:hAnsi="Calibri" w:cs="Calibri"/>
          <w:lang w:val="hr-HR"/>
        </w:rPr>
        <w:t xml:space="preserve"> </w:t>
      </w:r>
    </w:p>
    <w:p w14:paraId="134A3828" w14:textId="183A7453" w:rsidR="00132E7D" w:rsidRPr="00A658DB" w:rsidRDefault="00132E7D" w:rsidP="00F030D3">
      <w:pPr>
        <w:pStyle w:val="ListParagraph"/>
        <w:numPr>
          <w:ilvl w:val="0"/>
          <w:numId w:val="27"/>
        </w:numPr>
        <w:spacing w:before="40" w:after="40" w:line="300" w:lineRule="auto"/>
        <w:ind w:left="357" w:hanging="357"/>
        <w:rPr>
          <w:rFonts w:ascii="Calibri" w:hAnsi="Calibri" w:cs="Calibri"/>
          <w:lang w:val="hr-HR"/>
        </w:rPr>
      </w:pPr>
      <w:r w:rsidRPr="00A658DB">
        <w:rPr>
          <w:rFonts w:ascii="Calibri" w:hAnsi="Calibri" w:cs="Calibri"/>
          <w:lang w:val="hr-HR"/>
        </w:rPr>
        <w:t>prije recesije na funkcionalnom su tržištu komercijalnih nekretnina postojale velike razlike s obzirom na lokaciju i tržišni segment</w:t>
      </w:r>
      <w:r>
        <w:rPr>
          <w:rFonts w:ascii="Calibri" w:hAnsi="Calibri" w:cs="Calibri"/>
          <w:lang w:val="hr-HR"/>
        </w:rPr>
        <w:t>.</w:t>
      </w:r>
    </w:p>
    <w:p w14:paraId="21590F08" w14:textId="77777777" w:rsidR="00132E7D" w:rsidRPr="00EA7FD9" w:rsidRDefault="00132E7D" w:rsidP="00F030D3">
      <w:pPr>
        <w:spacing w:before="40" w:after="40" w:line="300" w:lineRule="auto"/>
        <w:rPr>
          <w:rFonts w:ascii="Calibri" w:hAnsi="Calibri" w:cs="Calibri"/>
          <w:lang w:val="hr-HR"/>
        </w:rPr>
      </w:pPr>
      <w:r>
        <w:rPr>
          <w:rFonts w:ascii="Calibri" w:hAnsi="Calibri" w:cs="Calibri"/>
          <w:lang w:val="hr-HR"/>
        </w:rPr>
        <w:t>Na temelju rezultata terenskog istraživanja iznesen je sažeti</w:t>
      </w:r>
      <w:r w:rsidRPr="00EA7FD9">
        <w:rPr>
          <w:rFonts w:ascii="Calibri" w:hAnsi="Calibri" w:cs="Calibri"/>
          <w:lang w:val="hr-HR"/>
        </w:rPr>
        <w:t xml:space="preserve"> </w:t>
      </w:r>
      <w:r>
        <w:rPr>
          <w:rFonts w:ascii="Calibri" w:hAnsi="Calibri" w:cs="Calibri"/>
          <w:lang w:val="hr-HR"/>
        </w:rPr>
        <w:t>pregled po tržišnim segmentima:</w:t>
      </w:r>
      <w:r w:rsidRPr="00EA7FD9">
        <w:rPr>
          <w:rFonts w:ascii="Calibri" w:hAnsi="Calibri" w:cs="Calibri"/>
          <w:lang w:val="hr-HR"/>
        </w:rPr>
        <w:t xml:space="preserve">  </w:t>
      </w:r>
    </w:p>
    <w:p w14:paraId="70A257BB" w14:textId="77777777" w:rsidR="00132E7D" w:rsidRPr="00EA7FD9" w:rsidRDefault="00132E7D" w:rsidP="00F030D3">
      <w:pPr>
        <w:spacing w:before="40" w:after="40" w:line="300" w:lineRule="auto"/>
        <w:rPr>
          <w:rFonts w:ascii="Calibri" w:hAnsi="Calibri" w:cs="Calibri"/>
          <w:lang w:val="hr-HR"/>
        </w:rPr>
      </w:pPr>
      <w:r w:rsidRPr="00620EF4">
        <w:rPr>
          <w:rFonts w:ascii="Calibri" w:hAnsi="Calibri" w:cs="Calibri"/>
          <w:b/>
          <w:bCs/>
          <w:lang w:val="hr-HR"/>
        </w:rPr>
        <w:t xml:space="preserve">Poslovni prostor </w:t>
      </w:r>
      <w:r>
        <w:rPr>
          <w:rFonts w:ascii="Calibri" w:hAnsi="Calibri" w:cs="Calibri"/>
          <w:b/>
          <w:bCs/>
          <w:lang w:val="hr-HR"/>
        </w:rPr>
        <w:t xml:space="preserve">(uredi) </w:t>
      </w:r>
      <w:r w:rsidRPr="00620EF4">
        <w:rPr>
          <w:rFonts w:ascii="Calibri" w:hAnsi="Calibri" w:cs="Calibri"/>
          <w:b/>
          <w:bCs/>
          <w:lang w:val="hr-HR"/>
        </w:rPr>
        <w:t>A klase</w:t>
      </w:r>
      <w:r w:rsidRPr="00620EF4">
        <w:rPr>
          <w:rStyle w:val="FootnoteReference"/>
          <w:rFonts w:ascii="Calibri" w:hAnsi="Calibri" w:cs="Calibri"/>
          <w:b/>
          <w:bCs/>
          <w:lang w:val="hr-HR"/>
        </w:rPr>
        <w:footnoteReference w:id="9"/>
      </w:r>
      <w:r w:rsidRPr="00620EF4">
        <w:rPr>
          <w:rFonts w:ascii="Calibri" w:hAnsi="Calibri" w:cs="Calibri"/>
          <w:b/>
          <w:bCs/>
          <w:lang w:val="hr-HR"/>
        </w:rPr>
        <w:t>.</w:t>
      </w:r>
      <w:r w:rsidRPr="00620EF4">
        <w:rPr>
          <w:rFonts w:ascii="Calibri" w:hAnsi="Calibri" w:cs="Calibri"/>
          <w:lang w:val="hr-HR"/>
        </w:rPr>
        <w:t xml:space="preserve"> U</w:t>
      </w:r>
      <w:r>
        <w:rPr>
          <w:rFonts w:ascii="Calibri" w:hAnsi="Calibri" w:cs="Calibri"/>
          <w:lang w:val="hr-HR"/>
        </w:rPr>
        <w:t xml:space="preserve"> Zagrebu je prije recesije postojalo dinamično</w:t>
      </w:r>
      <w:r w:rsidRPr="00EA7FD9">
        <w:rPr>
          <w:rFonts w:ascii="Calibri" w:hAnsi="Calibri" w:cs="Calibri"/>
          <w:lang w:val="hr-HR"/>
        </w:rPr>
        <w:t xml:space="preserve"> </w:t>
      </w:r>
      <w:r>
        <w:rPr>
          <w:rFonts w:ascii="Calibri" w:hAnsi="Calibri" w:cs="Calibri"/>
          <w:lang w:val="hr-HR"/>
        </w:rPr>
        <w:t>spekulativno tržište poslovnih prostora A klase</w:t>
      </w:r>
      <w:r w:rsidRPr="00EA7FD9">
        <w:rPr>
          <w:rFonts w:ascii="Calibri" w:hAnsi="Calibri" w:cs="Calibri"/>
          <w:lang w:val="hr-HR"/>
        </w:rPr>
        <w:t xml:space="preserve">, </w:t>
      </w:r>
      <w:r>
        <w:rPr>
          <w:rFonts w:ascii="Calibri" w:hAnsi="Calibri" w:cs="Calibri"/>
          <w:lang w:val="hr-HR"/>
        </w:rPr>
        <w:t>uz povećanje površine modernog uredskog prostora s otprilike</w:t>
      </w:r>
      <w:r w:rsidRPr="00EA7FD9">
        <w:rPr>
          <w:rFonts w:ascii="Calibri" w:hAnsi="Calibri" w:cs="Calibri"/>
          <w:lang w:val="hr-HR"/>
        </w:rPr>
        <w:t xml:space="preserve"> 350</w:t>
      </w:r>
      <w:r>
        <w:rPr>
          <w:rFonts w:ascii="Calibri" w:hAnsi="Calibri" w:cs="Calibri"/>
          <w:lang w:val="hr-HR"/>
        </w:rPr>
        <w:t>.</w:t>
      </w:r>
      <w:r w:rsidRPr="00EA7FD9">
        <w:rPr>
          <w:rFonts w:ascii="Calibri" w:hAnsi="Calibri" w:cs="Calibri"/>
          <w:lang w:val="hr-HR"/>
        </w:rPr>
        <w:t>000</w:t>
      </w:r>
      <w:r>
        <w:rPr>
          <w:rFonts w:ascii="Calibri" w:hAnsi="Calibri" w:cs="Calibri"/>
          <w:lang w:val="hr-HR"/>
        </w:rPr>
        <w:t xml:space="preserve"> </w:t>
      </w:r>
      <w:r w:rsidRPr="00EA7FD9">
        <w:rPr>
          <w:rFonts w:ascii="Calibri" w:hAnsi="Calibri" w:cs="Calibri"/>
          <w:lang w:val="hr-HR"/>
        </w:rPr>
        <w:t>m</w:t>
      </w:r>
      <w:r w:rsidRPr="00EA7FD9">
        <w:rPr>
          <w:rFonts w:ascii="Calibri" w:hAnsi="Calibri" w:cs="Calibri"/>
          <w:vertAlign w:val="superscript"/>
          <w:lang w:val="hr-HR"/>
        </w:rPr>
        <w:t>2</w:t>
      </w:r>
      <w:r w:rsidRPr="00EA7FD9">
        <w:rPr>
          <w:rFonts w:ascii="Calibri" w:hAnsi="Calibri" w:cs="Calibri"/>
          <w:lang w:val="hr-HR"/>
        </w:rPr>
        <w:t xml:space="preserve"> </w:t>
      </w:r>
      <w:r>
        <w:rPr>
          <w:rFonts w:ascii="Calibri" w:hAnsi="Calibri" w:cs="Calibri"/>
          <w:lang w:val="hr-HR"/>
        </w:rPr>
        <w:t>u</w:t>
      </w:r>
      <w:r w:rsidRPr="00EA7FD9">
        <w:rPr>
          <w:rFonts w:ascii="Calibri" w:hAnsi="Calibri" w:cs="Calibri"/>
          <w:lang w:val="hr-HR"/>
        </w:rPr>
        <w:t xml:space="preserve"> 2005</w:t>
      </w:r>
      <w:r>
        <w:rPr>
          <w:rFonts w:ascii="Calibri" w:hAnsi="Calibri" w:cs="Calibri"/>
          <w:lang w:val="hr-HR"/>
        </w:rPr>
        <w:t>.</w:t>
      </w:r>
      <w:r w:rsidRPr="00EA7FD9">
        <w:rPr>
          <w:rFonts w:ascii="Calibri" w:hAnsi="Calibri" w:cs="Calibri"/>
          <w:lang w:val="hr-HR"/>
        </w:rPr>
        <w:t xml:space="preserve"> </w:t>
      </w:r>
      <w:r>
        <w:rPr>
          <w:rFonts w:ascii="Calibri" w:hAnsi="Calibri" w:cs="Calibri"/>
          <w:lang w:val="hr-HR"/>
        </w:rPr>
        <w:t>godini na</w:t>
      </w:r>
      <w:r w:rsidRPr="00EA7FD9">
        <w:rPr>
          <w:rFonts w:ascii="Calibri" w:hAnsi="Calibri" w:cs="Calibri"/>
          <w:lang w:val="hr-HR"/>
        </w:rPr>
        <w:t xml:space="preserve"> 1</w:t>
      </w:r>
      <w:r>
        <w:rPr>
          <w:rFonts w:ascii="Calibri" w:hAnsi="Calibri" w:cs="Calibri"/>
          <w:lang w:val="hr-HR"/>
        </w:rPr>
        <w:t>,</w:t>
      </w:r>
      <w:r w:rsidRPr="00EA7FD9">
        <w:rPr>
          <w:rFonts w:ascii="Calibri" w:hAnsi="Calibri" w:cs="Calibri"/>
          <w:lang w:val="hr-HR"/>
        </w:rPr>
        <w:t>25</w:t>
      </w:r>
      <w:r>
        <w:rPr>
          <w:rFonts w:ascii="Calibri" w:hAnsi="Calibri" w:cs="Calibri"/>
          <w:lang w:val="hr-HR"/>
        </w:rPr>
        <w:t xml:space="preserve">0.000 </w:t>
      </w:r>
      <w:r w:rsidRPr="00EA7FD9">
        <w:rPr>
          <w:rFonts w:ascii="Calibri" w:hAnsi="Calibri" w:cs="Calibri"/>
          <w:lang w:val="hr-HR"/>
        </w:rPr>
        <w:t>m</w:t>
      </w:r>
      <w:r w:rsidRPr="00EA7FD9">
        <w:rPr>
          <w:rFonts w:ascii="Calibri" w:hAnsi="Calibri" w:cs="Calibri"/>
          <w:vertAlign w:val="superscript"/>
          <w:lang w:val="hr-HR"/>
        </w:rPr>
        <w:t>2</w:t>
      </w:r>
      <w:r w:rsidRPr="00EA7FD9">
        <w:rPr>
          <w:rFonts w:ascii="Calibri" w:hAnsi="Calibri" w:cs="Calibri"/>
          <w:lang w:val="hr-HR"/>
        </w:rPr>
        <w:t xml:space="preserve"> </w:t>
      </w:r>
      <w:r>
        <w:rPr>
          <w:rFonts w:ascii="Calibri" w:hAnsi="Calibri" w:cs="Calibri"/>
          <w:lang w:val="hr-HR"/>
        </w:rPr>
        <w:t>u</w:t>
      </w:r>
      <w:r w:rsidRPr="00EA7FD9">
        <w:rPr>
          <w:rFonts w:ascii="Calibri" w:hAnsi="Calibri" w:cs="Calibri"/>
          <w:lang w:val="hr-HR"/>
        </w:rPr>
        <w:t xml:space="preserve"> 2013</w:t>
      </w:r>
      <w:r>
        <w:rPr>
          <w:rFonts w:ascii="Calibri" w:hAnsi="Calibri" w:cs="Calibri"/>
          <w:lang w:val="hr-HR"/>
        </w:rPr>
        <w:t>. godini.</w:t>
      </w:r>
      <w:r w:rsidRPr="00EA7FD9">
        <w:rPr>
          <w:rStyle w:val="FootnoteReference"/>
          <w:rFonts w:ascii="Calibri" w:hAnsi="Calibri" w:cs="Calibri"/>
          <w:lang w:val="hr-HR"/>
        </w:rPr>
        <w:footnoteReference w:id="10"/>
      </w:r>
      <w:r>
        <w:rPr>
          <w:rFonts w:ascii="Calibri" w:hAnsi="Calibri" w:cs="Calibri"/>
          <w:lang w:val="hr-HR"/>
        </w:rPr>
        <w:t xml:space="preserve"> Tržište je trenutačno prezasićeno i stopa popunjenosti</w:t>
      </w:r>
      <w:r w:rsidRPr="00EA7FD9">
        <w:rPr>
          <w:rFonts w:ascii="Calibri" w:hAnsi="Calibri" w:cs="Calibri"/>
          <w:lang w:val="hr-HR"/>
        </w:rPr>
        <w:t xml:space="preserve"> </w:t>
      </w:r>
      <w:r>
        <w:rPr>
          <w:rFonts w:ascii="Calibri" w:hAnsi="Calibri" w:cs="Calibri"/>
          <w:lang w:val="hr-HR"/>
        </w:rPr>
        <w:t>uredskog prostora A klase je</w:t>
      </w:r>
      <w:r w:rsidRPr="00EA7FD9">
        <w:rPr>
          <w:rFonts w:ascii="Calibri" w:hAnsi="Calibri" w:cs="Calibri"/>
          <w:lang w:val="hr-HR"/>
        </w:rPr>
        <w:t xml:space="preserve"> </w:t>
      </w:r>
      <w:r>
        <w:rPr>
          <w:rFonts w:ascii="Calibri" w:hAnsi="Calibri" w:cs="Calibri"/>
          <w:lang w:val="hr-HR"/>
        </w:rPr>
        <w:t>oko</w:t>
      </w:r>
      <w:r w:rsidRPr="00EA7FD9">
        <w:rPr>
          <w:rFonts w:ascii="Calibri" w:hAnsi="Calibri" w:cs="Calibri"/>
          <w:lang w:val="hr-HR"/>
        </w:rPr>
        <w:t xml:space="preserve"> 65%. </w:t>
      </w:r>
      <w:r>
        <w:rPr>
          <w:rFonts w:ascii="Calibri" w:hAnsi="Calibri" w:cs="Calibri"/>
          <w:lang w:val="hr-HR"/>
        </w:rPr>
        <w:t>Posljedično, iznos najamnine pao je s cca</w:t>
      </w:r>
      <w:r w:rsidRPr="00EA7FD9">
        <w:rPr>
          <w:rFonts w:ascii="Calibri" w:hAnsi="Calibri" w:cs="Calibri"/>
          <w:lang w:val="hr-HR"/>
        </w:rPr>
        <w:t>. 18</w:t>
      </w:r>
      <w:r>
        <w:rPr>
          <w:rFonts w:ascii="Calibri" w:hAnsi="Calibri" w:cs="Calibri"/>
          <w:lang w:val="hr-HR"/>
        </w:rPr>
        <w:t xml:space="preserve"> EUR</w:t>
      </w:r>
      <w:r w:rsidRPr="00EA7FD9">
        <w:rPr>
          <w:rFonts w:ascii="Calibri" w:hAnsi="Calibri" w:cs="Calibri"/>
          <w:lang w:val="hr-HR"/>
        </w:rPr>
        <w:t>/m</w:t>
      </w:r>
      <w:r w:rsidRPr="007F613E">
        <w:rPr>
          <w:rFonts w:ascii="Calibri" w:hAnsi="Calibri" w:cs="Calibri"/>
          <w:vertAlign w:val="superscript"/>
          <w:lang w:val="hr-HR"/>
        </w:rPr>
        <w:t>2</w:t>
      </w:r>
      <w:r w:rsidRPr="00EA7FD9">
        <w:rPr>
          <w:rFonts w:ascii="Calibri" w:hAnsi="Calibri" w:cs="Calibri"/>
          <w:lang w:val="hr-HR"/>
        </w:rPr>
        <w:t xml:space="preserve"> </w:t>
      </w:r>
      <w:r>
        <w:rPr>
          <w:rFonts w:ascii="Calibri" w:hAnsi="Calibri" w:cs="Calibri"/>
          <w:lang w:val="hr-HR"/>
        </w:rPr>
        <w:t>na</w:t>
      </w:r>
      <w:r w:rsidRPr="00EA7FD9">
        <w:rPr>
          <w:rFonts w:ascii="Calibri" w:hAnsi="Calibri" w:cs="Calibri"/>
          <w:lang w:val="hr-HR"/>
        </w:rPr>
        <w:t xml:space="preserve"> 12</w:t>
      </w:r>
      <w:r>
        <w:rPr>
          <w:rFonts w:ascii="Calibri" w:hAnsi="Calibri" w:cs="Calibri"/>
          <w:lang w:val="hr-HR"/>
        </w:rPr>
        <w:t xml:space="preserve"> EUR/</w:t>
      </w:r>
      <w:r w:rsidRPr="00EA7FD9">
        <w:rPr>
          <w:rFonts w:ascii="Calibri" w:hAnsi="Calibri" w:cs="Calibri"/>
          <w:lang w:val="hr-HR"/>
        </w:rPr>
        <w:t>m</w:t>
      </w:r>
      <w:r w:rsidRPr="007F613E">
        <w:rPr>
          <w:rFonts w:ascii="Calibri" w:hAnsi="Calibri" w:cs="Calibri"/>
          <w:vertAlign w:val="superscript"/>
          <w:lang w:val="hr-HR"/>
        </w:rPr>
        <w:t>2</w:t>
      </w:r>
      <w:r w:rsidRPr="00EA7FD9">
        <w:rPr>
          <w:rFonts w:ascii="Calibri" w:hAnsi="Calibri" w:cs="Calibri"/>
          <w:lang w:val="hr-HR"/>
        </w:rPr>
        <w:t xml:space="preserve"> </w:t>
      </w:r>
      <w:r>
        <w:rPr>
          <w:rFonts w:ascii="Calibri" w:hAnsi="Calibri" w:cs="Calibri"/>
          <w:lang w:val="hr-HR"/>
        </w:rPr>
        <w:t>ili manje</w:t>
      </w:r>
      <w:r w:rsidRPr="00EA7FD9">
        <w:rPr>
          <w:rFonts w:ascii="Calibri" w:hAnsi="Calibri" w:cs="Calibri"/>
          <w:lang w:val="hr-HR"/>
        </w:rPr>
        <w:t xml:space="preserve">. </w:t>
      </w:r>
      <w:r>
        <w:rPr>
          <w:rFonts w:ascii="Calibri" w:hAnsi="Calibri" w:cs="Calibri"/>
          <w:lang w:val="hr-HR"/>
        </w:rPr>
        <w:t xml:space="preserve">Nema novih aktivnosti, a s obzirom na značajne </w:t>
      </w:r>
      <w:r w:rsidRPr="00556EF9">
        <w:rPr>
          <w:rFonts w:ascii="Calibri" w:hAnsi="Calibri" w:cs="Calibri"/>
          <w:lang w:val="hr-HR"/>
        </w:rPr>
        <w:t>viškove od posljednjeg ciklusa</w:t>
      </w:r>
      <w:r>
        <w:rPr>
          <w:rFonts w:ascii="Calibri" w:hAnsi="Calibri" w:cs="Calibri"/>
          <w:lang w:val="hr-HR"/>
        </w:rPr>
        <w:t xml:space="preserve"> izgradnje</w:t>
      </w:r>
      <w:r w:rsidRPr="00556EF9">
        <w:rPr>
          <w:rFonts w:ascii="Calibri" w:hAnsi="Calibri" w:cs="Calibri"/>
          <w:lang w:val="hr-HR"/>
        </w:rPr>
        <w:t>,</w:t>
      </w:r>
      <w:r>
        <w:rPr>
          <w:rFonts w:ascii="Calibri" w:hAnsi="Calibri" w:cs="Calibri"/>
          <w:lang w:val="hr-HR"/>
        </w:rPr>
        <w:t xml:space="preserve"> nisu ni izgledne u bližoj budućnosti</w:t>
      </w:r>
      <w:r w:rsidRPr="00EA7FD9">
        <w:rPr>
          <w:rFonts w:ascii="Calibri" w:hAnsi="Calibri" w:cs="Calibri"/>
          <w:lang w:val="hr-HR"/>
        </w:rPr>
        <w:t xml:space="preserve">. </w:t>
      </w:r>
    </w:p>
    <w:p w14:paraId="1F0C991F" w14:textId="77777777" w:rsidR="00132E7D" w:rsidRPr="00EA7FD9" w:rsidRDefault="00132E7D" w:rsidP="00F030D3">
      <w:pPr>
        <w:spacing w:before="40" w:after="40" w:line="300" w:lineRule="auto"/>
        <w:rPr>
          <w:rFonts w:ascii="Calibri" w:hAnsi="Calibri" w:cs="Calibri"/>
          <w:lang w:val="hr-HR"/>
        </w:rPr>
      </w:pPr>
      <w:r>
        <w:rPr>
          <w:rFonts w:ascii="Calibri" w:hAnsi="Calibri" w:cs="Calibri"/>
          <w:lang w:val="hr-HR"/>
        </w:rPr>
        <w:t>Prije recesije izvan Zagreba se nisu gradili poslovni prostori A klase</w:t>
      </w:r>
      <w:r w:rsidRPr="00EA7FD9">
        <w:rPr>
          <w:rFonts w:ascii="Calibri" w:hAnsi="Calibri" w:cs="Calibri"/>
          <w:lang w:val="hr-HR"/>
        </w:rPr>
        <w:t xml:space="preserve">. </w:t>
      </w:r>
      <w:r>
        <w:rPr>
          <w:rFonts w:ascii="Calibri" w:hAnsi="Calibri" w:cs="Calibri"/>
          <w:lang w:val="hr-HR"/>
        </w:rPr>
        <w:t>Stručnjaci za nekretnine imaju različite stavove o potencijalu za ograničeni razvoj poslovnog prostora A klase u Splitu</w:t>
      </w:r>
      <w:r w:rsidRPr="00EA7FD9">
        <w:rPr>
          <w:rFonts w:ascii="Calibri" w:hAnsi="Calibri" w:cs="Calibri"/>
          <w:lang w:val="hr-HR"/>
        </w:rPr>
        <w:t xml:space="preserve">. </w:t>
      </w:r>
      <w:r>
        <w:rPr>
          <w:rFonts w:ascii="Calibri" w:hAnsi="Calibri" w:cs="Calibri"/>
          <w:lang w:val="hr-HR"/>
        </w:rPr>
        <w:t>U ostalim središtima trenutačno ne postoji potencijal za razvoj</w:t>
      </w:r>
      <w:r w:rsidRPr="00EA7FD9">
        <w:rPr>
          <w:rFonts w:ascii="Calibri" w:hAnsi="Calibri" w:cs="Calibri"/>
          <w:lang w:val="hr-HR"/>
        </w:rPr>
        <w:t xml:space="preserve">. </w:t>
      </w:r>
    </w:p>
    <w:p w14:paraId="415AFB3A" w14:textId="77777777" w:rsidR="00132E7D" w:rsidRPr="00EA7FD9" w:rsidRDefault="00132E7D" w:rsidP="00F030D3">
      <w:pPr>
        <w:spacing w:before="40" w:after="40" w:line="300" w:lineRule="auto"/>
        <w:rPr>
          <w:rFonts w:ascii="Calibri" w:hAnsi="Calibri" w:cs="Calibri"/>
          <w:lang w:val="hr-HR"/>
        </w:rPr>
      </w:pPr>
      <w:r>
        <w:rPr>
          <w:rFonts w:ascii="Calibri" w:hAnsi="Calibri" w:cs="Calibri"/>
          <w:b/>
          <w:bCs/>
          <w:lang w:val="hr-HR"/>
        </w:rPr>
        <w:t>Poslovni prostor (uredi) B klase</w:t>
      </w:r>
      <w:r w:rsidRPr="00EA7FD9">
        <w:rPr>
          <w:rFonts w:ascii="Calibri" w:hAnsi="Calibri" w:cs="Calibri"/>
          <w:b/>
          <w:bCs/>
          <w:lang w:val="hr-HR"/>
        </w:rPr>
        <w:t>.</w:t>
      </w:r>
      <w:r w:rsidRPr="00EA7FD9">
        <w:rPr>
          <w:rFonts w:ascii="Calibri" w:hAnsi="Calibri" w:cs="Calibri"/>
          <w:lang w:val="hr-HR"/>
        </w:rPr>
        <w:t xml:space="preserve"> </w:t>
      </w:r>
      <w:r>
        <w:rPr>
          <w:rFonts w:ascii="Calibri" w:hAnsi="Calibri" w:cs="Calibri"/>
          <w:lang w:val="hr-HR"/>
        </w:rPr>
        <w:t>U Zagrebu, Splitu i Rijeci prije recesije je postojalo dinamično tržište poslovnog prostora B klase</w:t>
      </w:r>
      <w:r w:rsidRPr="00EA7FD9">
        <w:rPr>
          <w:rFonts w:ascii="Calibri" w:hAnsi="Calibri" w:cs="Calibri"/>
          <w:lang w:val="hr-HR"/>
        </w:rPr>
        <w:t xml:space="preserve">. </w:t>
      </w:r>
      <w:r>
        <w:rPr>
          <w:rFonts w:ascii="Calibri" w:hAnsi="Calibri" w:cs="Calibri"/>
          <w:lang w:val="hr-HR"/>
        </w:rPr>
        <w:t>Dio aktivnosti odnosio se i na obnovu, a ne samo na izgradnju</w:t>
      </w:r>
      <w:r w:rsidRPr="00EA7FD9">
        <w:rPr>
          <w:rFonts w:ascii="Calibri" w:hAnsi="Calibri" w:cs="Calibri"/>
          <w:lang w:val="hr-HR"/>
        </w:rPr>
        <w:t xml:space="preserve">. </w:t>
      </w:r>
      <w:r>
        <w:rPr>
          <w:rFonts w:ascii="Calibri" w:hAnsi="Calibri" w:cs="Calibri"/>
          <w:lang w:val="hr-HR"/>
        </w:rPr>
        <w:t>Sva tri tržišta trenutačno su prezasićena, uz pad cijena najma</w:t>
      </w:r>
      <w:r w:rsidRPr="00EA7FD9">
        <w:rPr>
          <w:rFonts w:ascii="Calibri" w:hAnsi="Calibri" w:cs="Calibri"/>
          <w:lang w:val="hr-HR"/>
        </w:rPr>
        <w:t xml:space="preserve">. </w:t>
      </w:r>
      <w:r>
        <w:rPr>
          <w:rFonts w:ascii="Calibri" w:hAnsi="Calibri" w:cs="Calibri"/>
          <w:lang w:val="hr-HR"/>
        </w:rPr>
        <w:t>Prisutan je veliki jaz između cijena najma poslovnih prostora A i B klase</w:t>
      </w:r>
      <w:r w:rsidRPr="00EA7FD9">
        <w:rPr>
          <w:rFonts w:ascii="Calibri" w:hAnsi="Calibri" w:cs="Calibri"/>
          <w:lang w:val="hr-HR"/>
        </w:rPr>
        <w:t xml:space="preserve">. </w:t>
      </w:r>
    </w:p>
    <w:p w14:paraId="5A64A60D" w14:textId="77777777" w:rsidR="00132E7D" w:rsidRPr="00323D95" w:rsidRDefault="00132E7D" w:rsidP="00F030D3">
      <w:pPr>
        <w:spacing w:before="40" w:after="40" w:line="300" w:lineRule="auto"/>
        <w:rPr>
          <w:rFonts w:ascii="Calibri" w:hAnsi="Calibri" w:cs="Calibri"/>
          <w:highlight w:val="yellow"/>
          <w:lang w:val="hr-HR"/>
        </w:rPr>
      </w:pPr>
      <w:r w:rsidRPr="00FC0803">
        <w:rPr>
          <w:rFonts w:ascii="Calibri" w:hAnsi="Calibri" w:cs="Calibri"/>
          <w:lang w:val="hr-HR"/>
        </w:rPr>
        <w:t xml:space="preserve">U Osijeku i ostalim gradovima </w:t>
      </w:r>
      <w:r>
        <w:rPr>
          <w:rFonts w:ascii="Calibri" w:hAnsi="Calibri" w:cs="Calibri"/>
          <w:lang w:val="hr-HR"/>
        </w:rPr>
        <w:t xml:space="preserve">prije recesije je postojala vrlo ograničena ponuda </w:t>
      </w:r>
      <w:r w:rsidRPr="00FC0803">
        <w:rPr>
          <w:rFonts w:ascii="Calibri" w:hAnsi="Calibri" w:cs="Calibri"/>
          <w:lang w:val="hr-HR"/>
        </w:rPr>
        <w:t>poslovnog prostora B klase</w:t>
      </w:r>
      <w:r>
        <w:rPr>
          <w:rFonts w:ascii="Calibri" w:hAnsi="Calibri" w:cs="Calibri"/>
          <w:lang w:val="hr-HR"/>
        </w:rPr>
        <w:t xml:space="preserve">, a aktivnosti su se više odnosile na obnovu nego na izgradnju. Zgrade su uglavnom gradile etablirane lokalne tvrtke za vlastite potrebe ili za </w:t>
      </w:r>
      <w:r w:rsidRPr="00FC0803">
        <w:rPr>
          <w:rFonts w:ascii="Calibri" w:hAnsi="Calibri" w:cs="Calibri"/>
          <w:lang w:val="hr-HR"/>
        </w:rPr>
        <w:t>državna poduzeća (posebice financijski sektor)</w:t>
      </w:r>
      <w:r>
        <w:rPr>
          <w:rFonts w:ascii="Calibri" w:hAnsi="Calibri" w:cs="Calibri"/>
          <w:lang w:val="hr-HR"/>
        </w:rPr>
        <w:t>,</w:t>
      </w:r>
      <w:r w:rsidRPr="00FC0803">
        <w:rPr>
          <w:rFonts w:ascii="Calibri" w:hAnsi="Calibri" w:cs="Calibri"/>
          <w:lang w:val="hr-HR"/>
        </w:rPr>
        <w:t xml:space="preserve"> </w:t>
      </w:r>
      <w:r>
        <w:rPr>
          <w:rFonts w:ascii="Calibri" w:hAnsi="Calibri" w:cs="Calibri"/>
          <w:lang w:val="hr-HR"/>
        </w:rPr>
        <w:t xml:space="preserve">s ciljem razvoja mreže podružnica. U takvim okolnostima, </w:t>
      </w:r>
      <w:r w:rsidRPr="005A57DC">
        <w:rPr>
          <w:rFonts w:ascii="Calibri" w:hAnsi="Calibri" w:cs="Calibri"/>
          <w:i/>
          <w:iCs/>
          <w:lang w:val="hr-HR"/>
        </w:rPr>
        <w:t>developer</w:t>
      </w:r>
      <w:r w:rsidRPr="005A57DC">
        <w:rPr>
          <w:rFonts w:ascii="Calibri" w:hAnsi="Calibri" w:cs="Calibri"/>
          <w:lang w:val="hr-HR"/>
        </w:rPr>
        <w:t xml:space="preserve"> može</w:t>
      </w:r>
      <w:r w:rsidRPr="007A4A63">
        <w:rPr>
          <w:rFonts w:ascii="Calibri" w:hAnsi="Calibri" w:cs="Calibri"/>
          <w:lang w:val="hr-HR"/>
        </w:rPr>
        <w:t xml:space="preserve"> izgraditi više </w:t>
      </w:r>
      <w:r>
        <w:rPr>
          <w:rFonts w:ascii="Calibri" w:hAnsi="Calibri" w:cs="Calibri"/>
          <w:lang w:val="hr-HR"/>
        </w:rPr>
        <w:t>objekat</w:t>
      </w:r>
      <w:r w:rsidRPr="007A4A63">
        <w:rPr>
          <w:rFonts w:ascii="Calibri" w:hAnsi="Calibri" w:cs="Calibri"/>
          <w:lang w:val="hr-HR"/>
        </w:rPr>
        <w:t xml:space="preserve">a no što mu je potrebno za vlastite </w:t>
      </w:r>
      <w:r>
        <w:rPr>
          <w:rFonts w:ascii="Calibri" w:hAnsi="Calibri" w:cs="Calibri"/>
          <w:lang w:val="hr-HR"/>
        </w:rPr>
        <w:t xml:space="preserve">potrebe ili za glavnog zakupca, </w:t>
      </w:r>
      <w:r w:rsidRPr="007A4A63">
        <w:rPr>
          <w:rFonts w:ascii="Calibri" w:hAnsi="Calibri" w:cs="Calibri"/>
          <w:lang w:val="hr-HR"/>
        </w:rPr>
        <w:t xml:space="preserve">te </w:t>
      </w:r>
      <w:r>
        <w:rPr>
          <w:rFonts w:ascii="Calibri" w:hAnsi="Calibri" w:cs="Calibri"/>
          <w:lang w:val="hr-HR"/>
        </w:rPr>
        <w:t xml:space="preserve">višak može ponuditi </w:t>
      </w:r>
      <w:r w:rsidRPr="007A4A63">
        <w:rPr>
          <w:rFonts w:ascii="Calibri" w:hAnsi="Calibri" w:cs="Calibri"/>
          <w:lang w:val="hr-HR"/>
        </w:rPr>
        <w:t xml:space="preserve">lokalnom tržištu. Međutim, stručnjaci za tržište nekretnina ovu razinu aktivnosti ne smatraju funkcionalnim tržištem. </w:t>
      </w:r>
    </w:p>
    <w:p w14:paraId="62433396" w14:textId="77777777" w:rsidR="00132E7D" w:rsidRPr="00D90D74" w:rsidRDefault="00132E7D" w:rsidP="00F030D3">
      <w:pPr>
        <w:spacing w:before="40" w:after="40" w:line="300" w:lineRule="auto"/>
        <w:rPr>
          <w:rFonts w:ascii="Calibri" w:hAnsi="Calibri" w:cs="Calibri"/>
          <w:lang w:val="hr-HR"/>
        </w:rPr>
      </w:pPr>
      <w:r w:rsidRPr="00036C0B">
        <w:rPr>
          <w:rFonts w:ascii="Calibri" w:hAnsi="Calibri" w:cs="Calibri"/>
          <w:b/>
          <w:bCs/>
          <w:lang w:val="hr-HR"/>
        </w:rPr>
        <w:t xml:space="preserve">Mali uredi/radionice. </w:t>
      </w:r>
      <w:r w:rsidRPr="00036C0B">
        <w:rPr>
          <w:rFonts w:ascii="Calibri" w:hAnsi="Calibri" w:cs="Calibri"/>
          <w:lang w:val="hr-HR"/>
        </w:rPr>
        <w:t>Čak i prije</w:t>
      </w:r>
      <w:r w:rsidRPr="004C3144">
        <w:rPr>
          <w:rFonts w:ascii="Calibri" w:hAnsi="Calibri" w:cs="Calibri"/>
          <w:lang w:val="hr-HR"/>
        </w:rPr>
        <w:t xml:space="preserve"> recesije najam ove kategorije nekretnina u Zagrebu nije bio dostatan za pokrivanje troškova </w:t>
      </w:r>
      <w:r>
        <w:rPr>
          <w:rFonts w:ascii="Calibri" w:hAnsi="Calibri" w:cs="Calibri"/>
          <w:lang w:val="hr-HR"/>
        </w:rPr>
        <w:t>iz</w:t>
      </w:r>
      <w:r w:rsidRPr="004C3144">
        <w:rPr>
          <w:rFonts w:ascii="Calibri" w:hAnsi="Calibri" w:cs="Calibri"/>
          <w:lang w:val="hr-HR"/>
        </w:rPr>
        <w:t xml:space="preserve">gradnje. </w:t>
      </w:r>
      <w:r w:rsidRPr="00036C0B">
        <w:rPr>
          <w:rFonts w:ascii="Calibri" w:hAnsi="Calibri" w:cs="Calibri"/>
          <w:lang w:val="hr-HR"/>
        </w:rPr>
        <w:t xml:space="preserve">U slučaju nepostojanja komercijalnog tržišta, lokalna uprava ne pokazuje interes za aktivno sudjelovanje. </w:t>
      </w:r>
      <w:r w:rsidRPr="00D90D74">
        <w:rPr>
          <w:rFonts w:ascii="Calibri" w:hAnsi="Calibri" w:cs="Calibri"/>
          <w:lang w:val="hr-HR"/>
        </w:rPr>
        <w:t xml:space="preserve">U Hrvatskoj </w:t>
      </w:r>
      <w:r>
        <w:rPr>
          <w:rFonts w:ascii="Calibri" w:hAnsi="Calibri" w:cs="Calibri"/>
          <w:lang w:val="hr-HR"/>
        </w:rPr>
        <w:t>je većinom riječ o</w:t>
      </w:r>
      <w:r w:rsidRPr="00036C0B">
        <w:rPr>
          <w:rFonts w:ascii="Calibri" w:hAnsi="Calibri" w:cs="Calibri"/>
          <w:lang w:val="hr-HR"/>
        </w:rPr>
        <w:t xml:space="preserve"> već postojeć</w:t>
      </w:r>
      <w:r>
        <w:rPr>
          <w:rFonts w:ascii="Calibri" w:hAnsi="Calibri" w:cs="Calibri"/>
          <w:lang w:val="hr-HR"/>
        </w:rPr>
        <w:t>im</w:t>
      </w:r>
      <w:r w:rsidRPr="00036C0B">
        <w:rPr>
          <w:rFonts w:ascii="Calibri" w:hAnsi="Calibri" w:cs="Calibri"/>
          <w:lang w:val="hr-HR"/>
        </w:rPr>
        <w:t xml:space="preserve"> nekretnin</w:t>
      </w:r>
      <w:r>
        <w:rPr>
          <w:rFonts w:ascii="Calibri" w:hAnsi="Calibri" w:cs="Calibri"/>
          <w:lang w:val="hr-HR"/>
        </w:rPr>
        <w:t>ama</w:t>
      </w:r>
      <w:r w:rsidRPr="00036C0B">
        <w:rPr>
          <w:rFonts w:ascii="Calibri" w:hAnsi="Calibri" w:cs="Calibri"/>
          <w:lang w:val="hr-HR"/>
        </w:rPr>
        <w:t xml:space="preserve"> koje su kupljene i preuređene za vlastit</w:t>
      </w:r>
      <w:r>
        <w:rPr>
          <w:rFonts w:ascii="Calibri" w:hAnsi="Calibri" w:cs="Calibri"/>
          <w:lang w:val="hr-HR"/>
        </w:rPr>
        <w:t>e</w:t>
      </w:r>
      <w:r w:rsidRPr="00036C0B">
        <w:rPr>
          <w:rFonts w:ascii="Calibri" w:hAnsi="Calibri" w:cs="Calibri"/>
          <w:lang w:val="hr-HR"/>
        </w:rPr>
        <w:t xml:space="preserve"> </w:t>
      </w:r>
      <w:r>
        <w:rPr>
          <w:rFonts w:ascii="Calibri" w:hAnsi="Calibri" w:cs="Calibri"/>
          <w:lang w:val="hr-HR"/>
        </w:rPr>
        <w:t>potrebe</w:t>
      </w:r>
      <w:r w:rsidRPr="00036C0B">
        <w:rPr>
          <w:rFonts w:ascii="Calibri" w:hAnsi="Calibri" w:cs="Calibri"/>
          <w:lang w:val="hr-HR"/>
        </w:rPr>
        <w:t>.</w:t>
      </w:r>
      <w:r w:rsidRPr="00D90D74">
        <w:rPr>
          <w:rFonts w:ascii="Calibri" w:hAnsi="Calibri" w:cs="Calibri"/>
          <w:lang w:val="hr-HR"/>
        </w:rPr>
        <w:t xml:space="preserve"> </w:t>
      </w:r>
    </w:p>
    <w:p w14:paraId="471EECCA" w14:textId="77777777" w:rsidR="00132E7D" w:rsidRPr="00323D95" w:rsidRDefault="00132E7D" w:rsidP="00F030D3">
      <w:pPr>
        <w:spacing w:before="40" w:after="40" w:line="300" w:lineRule="auto"/>
        <w:rPr>
          <w:rFonts w:ascii="Calibri" w:hAnsi="Calibri" w:cs="Calibri"/>
          <w:highlight w:val="yellow"/>
          <w:lang w:val="hr-HR"/>
        </w:rPr>
      </w:pPr>
      <w:r w:rsidRPr="00236384">
        <w:rPr>
          <w:rFonts w:ascii="Calibri" w:hAnsi="Calibri" w:cs="Calibri"/>
          <w:b/>
          <w:bCs/>
          <w:lang w:val="hr-HR"/>
        </w:rPr>
        <w:lastRenderedPageBreak/>
        <w:t>Industrija/logistika</w:t>
      </w:r>
      <w:r w:rsidRPr="00236384">
        <w:rPr>
          <w:rFonts w:ascii="Calibri" w:hAnsi="Calibri" w:cs="Calibri"/>
          <w:lang w:val="hr-HR"/>
        </w:rPr>
        <w:t>. Prema</w:t>
      </w:r>
      <w:r w:rsidRPr="00010F31">
        <w:rPr>
          <w:rFonts w:ascii="Calibri" w:hAnsi="Calibri" w:cs="Calibri"/>
          <w:lang w:val="hr-HR"/>
        </w:rPr>
        <w:t xml:space="preserve"> izvješćima, tijekom posljednjeg ciklusa </w:t>
      </w:r>
      <w:r>
        <w:rPr>
          <w:rFonts w:ascii="Calibri" w:hAnsi="Calibri" w:cs="Calibri"/>
          <w:lang w:val="hr-HR"/>
        </w:rPr>
        <w:t>razvoja</w:t>
      </w:r>
      <w:r w:rsidRPr="00010F31">
        <w:rPr>
          <w:rFonts w:ascii="Calibri" w:hAnsi="Calibri" w:cs="Calibri"/>
          <w:lang w:val="hr-HR"/>
        </w:rPr>
        <w:t xml:space="preserve"> nekretnina aktivnost u segmentima industrije i logistike</w:t>
      </w:r>
      <w:r>
        <w:rPr>
          <w:rFonts w:ascii="Calibri" w:hAnsi="Calibri" w:cs="Calibri"/>
          <w:lang w:val="hr-HR"/>
        </w:rPr>
        <w:t xml:space="preserve"> bila je </w:t>
      </w:r>
      <w:r w:rsidRPr="00010F31">
        <w:rPr>
          <w:rFonts w:ascii="Calibri" w:hAnsi="Calibri" w:cs="Calibri"/>
          <w:lang w:val="hr-HR"/>
        </w:rPr>
        <w:t xml:space="preserve">ograničena na mali broj projekata u Zagrebu i njegovoj užoj okolici. </w:t>
      </w:r>
      <w:r>
        <w:rPr>
          <w:rFonts w:ascii="Calibri" w:hAnsi="Calibri" w:cs="Calibri"/>
          <w:lang w:val="hr-HR"/>
        </w:rPr>
        <w:t>Jedan od pružatelja usluga nekretnina navodi nekonkurentna</w:t>
      </w:r>
      <w:r w:rsidRPr="00010F31">
        <w:rPr>
          <w:rFonts w:ascii="Calibri" w:hAnsi="Calibri" w:cs="Calibri"/>
          <w:lang w:val="hr-HR"/>
        </w:rPr>
        <w:t xml:space="preserve"> porezna, vodna i komunalna davanja</w:t>
      </w:r>
      <w:r>
        <w:rPr>
          <w:rFonts w:ascii="Calibri" w:hAnsi="Calibri" w:cs="Calibri"/>
          <w:lang w:val="hr-HR"/>
        </w:rPr>
        <w:t xml:space="preserve"> kao razlog pogoršanja razvoja u industrijskom sektoru.</w:t>
      </w:r>
    </w:p>
    <w:p w14:paraId="086EDF6C" w14:textId="77777777" w:rsidR="00132E7D" w:rsidRDefault="00132E7D" w:rsidP="00F030D3">
      <w:pPr>
        <w:spacing w:before="40" w:after="40" w:line="300" w:lineRule="auto"/>
        <w:rPr>
          <w:rFonts w:ascii="Calibri" w:hAnsi="Calibri" w:cs="Calibri"/>
          <w:lang w:val="hr-HR"/>
        </w:rPr>
      </w:pPr>
      <w:r w:rsidRPr="00010F31">
        <w:rPr>
          <w:rFonts w:ascii="Calibri" w:hAnsi="Calibri" w:cs="Calibri"/>
          <w:lang w:val="hr-HR"/>
        </w:rPr>
        <w:t xml:space="preserve">U uvjetima ograničene ponude </w:t>
      </w:r>
      <w:r>
        <w:rPr>
          <w:rFonts w:ascii="Calibri" w:hAnsi="Calibri" w:cs="Calibri"/>
          <w:lang w:val="hr-HR"/>
        </w:rPr>
        <w:t xml:space="preserve">najam </w:t>
      </w:r>
      <w:r w:rsidRPr="00236384">
        <w:rPr>
          <w:rFonts w:ascii="Calibri" w:hAnsi="Calibri" w:cs="Calibri"/>
          <w:lang w:val="hr-HR"/>
        </w:rPr>
        <w:t xml:space="preserve">industrijskog i logističkog prostora </w:t>
      </w:r>
      <w:r w:rsidRPr="00010F31">
        <w:rPr>
          <w:rFonts w:ascii="Calibri" w:hAnsi="Calibri" w:cs="Calibri"/>
          <w:lang w:val="hr-HR"/>
        </w:rPr>
        <w:t xml:space="preserve">iznad je prosjeka Srednje i Jugoistočne Europe. </w:t>
      </w:r>
      <w:r>
        <w:rPr>
          <w:rFonts w:ascii="Calibri" w:hAnsi="Calibri" w:cs="Calibri"/>
          <w:lang w:val="hr-HR"/>
        </w:rPr>
        <w:t xml:space="preserve">Prema izvješćima, nakon pristupanja Hrvatske Europskoj uniji interes </w:t>
      </w:r>
      <w:r w:rsidRPr="007E4F63">
        <w:rPr>
          <w:rFonts w:ascii="Calibri" w:hAnsi="Calibri" w:cs="Calibri"/>
          <w:i/>
          <w:iCs/>
          <w:lang w:val="hr-HR"/>
        </w:rPr>
        <w:t>developera</w:t>
      </w:r>
      <w:r>
        <w:rPr>
          <w:rFonts w:ascii="Calibri" w:hAnsi="Calibri" w:cs="Calibri"/>
          <w:lang w:val="hr-HR"/>
        </w:rPr>
        <w:t xml:space="preserve"> usmjerio se na segment logistike</w:t>
      </w:r>
      <w:r w:rsidRPr="007E4F63">
        <w:rPr>
          <w:rFonts w:ascii="Calibri" w:hAnsi="Calibri" w:cs="Calibri"/>
          <w:lang w:val="hr-HR"/>
        </w:rPr>
        <w:t xml:space="preserve">. U izvješćima su izneseni stavovi o </w:t>
      </w:r>
      <w:r>
        <w:rPr>
          <w:rFonts w:ascii="Calibri" w:hAnsi="Calibri" w:cs="Calibri"/>
          <w:lang w:val="hr-HR"/>
        </w:rPr>
        <w:t>postojanju razvojnog</w:t>
      </w:r>
      <w:r w:rsidRPr="007E4F63">
        <w:rPr>
          <w:rFonts w:ascii="Calibri" w:hAnsi="Calibri" w:cs="Calibri"/>
          <w:lang w:val="hr-HR"/>
        </w:rPr>
        <w:t xml:space="preserve"> potencijal</w:t>
      </w:r>
      <w:r>
        <w:rPr>
          <w:rFonts w:ascii="Calibri" w:hAnsi="Calibri" w:cs="Calibri"/>
          <w:lang w:val="hr-HR"/>
        </w:rPr>
        <w:t>a</w:t>
      </w:r>
      <w:r w:rsidRPr="007E4F63">
        <w:rPr>
          <w:rFonts w:ascii="Calibri" w:hAnsi="Calibri" w:cs="Calibri"/>
          <w:lang w:val="hr-HR"/>
        </w:rPr>
        <w:t xml:space="preserve"> za ovaj sektor u Zagrebu i Rijeci.</w:t>
      </w:r>
      <w:r w:rsidRPr="00EA7FD9">
        <w:rPr>
          <w:rFonts w:ascii="Calibri" w:hAnsi="Calibri" w:cs="Calibri"/>
          <w:lang w:val="hr-HR"/>
        </w:rPr>
        <w:t xml:space="preserve">  </w:t>
      </w:r>
    </w:p>
    <w:p w14:paraId="207DE424" w14:textId="77777777" w:rsidR="00132E7D" w:rsidRDefault="00132E7D" w:rsidP="00F030D3">
      <w:pPr>
        <w:spacing w:before="40" w:after="40" w:line="300" w:lineRule="auto"/>
        <w:rPr>
          <w:rFonts w:ascii="Calibri" w:hAnsi="Calibri" w:cs="Calibri"/>
          <w:lang w:val="hr-HR"/>
        </w:rPr>
      </w:pPr>
      <w:r w:rsidRPr="00D41671">
        <w:rPr>
          <w:rFonts w:ascii="Calibri" w:hAnsi="Calibri" w:cs="Calibri"/>
          <w:b/>
          <w:bCs/>
          <w:lang w:val="hr-HR"/>
        </w:rPr>
        <w:t>Maloprodaja</w:t>
      </w:r>
      <w:r w:rsidRPr="00D41671">
        <w:rPr>
          <w:rFonts w:ascii="Calibri" w:hAnsi="Calibri" w:cs="Calibri"/>
          <w:lang w:val="hr-HR"/>
        </w:rPr>
        <w:t xml:space="preserve">. </w:t>
      </w:r>
      <w:r>
        <w:rPr>
          <w:rFonts w:ascii="Calibri" w:hAnsi="Calibri" w:cs="Calibri"/>
          <w:lang w:val="hr-HR"/>
        </w:rPr>
        <w:t xml:space="preserve">Četiri su najveća grada za vrijeme tržišnog </w:t>
      </w:r>
      <w:r w:rsidRPr="00D41671">
        <w:rPr>
          <w:rFonts w:ascii="Calibri" w:hAnsi="Calibri" w:cs="Calibri"/>
          <w:i/>
          <w:iCs/>
          <w:lang w:val="hr-HR"/>
        </w:rPr>
        <w:t>booma</w:t>
      </w:r>
      <w:r>
        <w:rPr>
          <w:rFonts w:ascii="Calibri" w:hAnsi="Calibri" w:cs="Calibri"/>
          <w:lang w:val="hr-HR"/>
        </w:rPr>
        <w:t xml:space="preserve"> svjedočila značajnom porastu broja nekretnina u ovom segmentu - trenutačno jedinom koji bilježi aktivan razvoj. Iako je tržište u Zagrebu i okolnom području iznimno zasićeno, još ima prostora za razvoj novih niša. U ovom trenutku </w:t>
      </w:r>
      <w:r w:rsidRPr="00D41671">
        <w:rPr>
          <w:rFonts w:ascii="Calibri" w:hAnsi="Calibri" w:cs="Calibri"/>
          <w:i/>
          <w:iCs/>
          <w:lang w:val="hr-HR"/>
        </w:rPr>
        <w:t>developeri</w:t>
      </w:r>
      <w:r>
        <w:rPr>
          <w:rFonts w:ascii="Calibri" w:hAnsi="Calibri" w:cs="Calibri"/>
          <w:lang w:val="hr-HR"/>
        </w:rPr>
        <w:t xml:space="preserve"> predlažu razvoj trgovačkih centara u Osijeku i Splitu ili u manjim gradskim središtima poput Dubrovnika. </w:t>
      </w:r>
    </w:p>
    <w:p w14:paraId="18A5EB82" w14:textId="69E1C78F" w:rsidR="00132E7D" w:rsidRDefault="00132E7D" w:rsidP="00F030D3">
      <w:pPr>
        <w:spacing w:before="40" w:after="40" w:line="300" w:lineRule="auto"/>
        <w:rPr>
          <w:rFonts w:ascii="Calibri" w:hAnsi="Calibri" w:cs="Calibri"/>
          <w:lang w:val="hr-HR"/>
        </w:rPr>
      </w:pPr>
      <w:r>
        <w:rPr>
          <w:rFonts w:ascii="Calibri" w:hAnsi="Calibri" w:cs="Calibri"/>
          <w:lang w:val="hr-HR"/>
        </w:rPr>
        <w:t xml:space="preserve">Ako iz razmatranja isključimo položaj u ciklusu nekretnina, opseg razvoja komercijalnih nekretnina u Hrvatskoj je uvjetovan gustoćom tržišta i klasifikacijom poduzeća prema veličini. Većina poduzeća u srednje velikim i manjim gradovima je stara, ili je riječ o malim poduzećima koja vode poslovanje iz privatnog stana, itd. Stručnjaci za nekretnine ne vide veliku mogućnost razvoja na područjima izvan Zagreba bez postojanja ključnog najmoprimca (primjerice, banke ili osiguravajućeg društva), s dugoročnim najmom. </w:t>
      </w:r>
    </w:p>
    <w:p w14:paraId="30489712" w14:textId="77777777" w:rsidR="00132E7D" w:rsidRPr="009B0C69" w:rsidRDefault="00132E7D" w:rsidP="00F030D3">
      <w:pPr>
        <w:spacing w:before="40" w:after="40" w:line="300" w:lineRule="auto"/>
        <w:rPr>
          <w:rFonts w:ascii="Calibri" w:hAnsi="Calibri" w:cs="Calibri"/>
          <w:lang w:val="hr-HR"/>
        </w:rPr>
      </w:pPr>
    </w:p>
    <w:p w14:paraId="6BD853E5" w14:textId="77777777" w:rsidR="00132E7D" w:rsidRPr="00CF2B98" w:rsidRDefault="00132E7D" w:rsidP="00F030D3">
      <w:pPr>
        <w:pStyle w:val="14-Heading2"/>
        <w:spacing w:before="40" w:after="40" w:line="300" w:lineRule="auto"/>
        <w:rPr>
          <w:sz w:val="22"/>
          <w:szCs w:val="22"/>
          <w:lang w:val="hr-HR"/>
        </w:rPr>
      </w:pPr>
      <w:bookmarkStart w:id="8" w:name="_Toc394052275"/>
      <w:r w:rsidRPr="00CF2B98">
        <w:rPr>
          <w:sz w:val="22"/>
          <w:szCs w:val="22"/>
          <w:lang w:val="hr-HR"/>
        </w:rPr>
        <w:t xml:space="preserve">4.2  </w:t>
      </w:r>
      <w:r w:rsidRPr="00CF2B98">
        <w:rPr>
          <w:sz w:val="22"/>
          <w:szCs w:val="22"/>
          <w:lang w:val="hr-HR"/>
        </w:rPr>
        <w:tab/>
        <w:t>Aspiracije vezane uz urbani razvoj</w:t>
      </w:r>
      <w:bookmarkEnd w:id="8"/>
      <w:r w:rsidRPr="00CF2B98">
        <w:rPr>
          <w:sz w:val="22"/>
          <w:szCs w:val="22"/>
          <w:lang w:val="hr-HR"/>
        </w:rPr>
        <w:t xml:space="preserve"> </w:t>
      </w:r>
    </w:p>
    <w:p w14:paraId="65176788" w14:textId="77777777" w:rsidR="00132E7D" w:rsidRDefault="00132E7D" w:rsidP="00F030D3">
      <w:pPr>
        <w:spacing w:before="40" w:after="40" w:line="300" w:lineRule="auto"/>
        <w:rPr>
          <w:rFonts w:ascii="Calibri" w:hAnsi="Calibri" w:cs="Calibri"/>
          <w:lang w:val="hr-HR"/>
        </w:rPr>
      </w:pPr>
      <w:r>
        <w:rPr>
          <w:rFonts w:ascii="Calibri" w:hAnsi="Calibri" w:cs="Calibri"/>
          <w:lang w:val="hr-HR"/>
        </w:rPr>
        <w:t xml:space="preserve">Svi hrvatski gradovi s više od 35.000 stanovnika morat će izraditi strategiju integriranog održivog urbanog razvoja. Stoga bi prvi temeljni preduvjet za primjenu JESSICA-e u većim hrvatskim urbanim područjima trebao biti zadovoljen. </w:t>
      </w:r>
    </w:p>
    <w:p w14:paraId="4DEBC99C" w14:textId="77777777" w:rsidR="00132E7D" w:rsidRDefault="00132E7D" w:rsidP="00F030D3">
      <w:pPr>
        <w:spacing w:before="40" w:after="40" w:line="300" w:lineRule="auto"/>
        <w:rPr>
          <w:rFonts w:ascii="Calibri" w:hAnsi="Calibri" w:cs="Calibri"/>
          <w:lang w:val="hr-HR"/>
        </w:rPr>
      </w:pPr>
      <w:r>
        <w:rPr>
          <w:rFonts w:ascii="Calibri" w:hAnsi="Calibri" w:cs="Calibri"/>
          <w:lang w:val="hr-HR"/>
        </w:rPr>
        <w:t xml:space="preserve">Na temelju upitnika o održivom urbanom razvoju koji je na popunjavanje poslan svim gradovima u Hrvatskoj s više od 10.000 stanovnika, a koji je činio sastavni dio istraživanja provedenog u sklopu </w:t>
      </w:r>
      <w:r w:rsidRPr="009B0C69">
        <w:rPr>
          <w:rFonts w:ascii="Calibri" w:hAnsi="Calibri" w:cs="Calibri"/>
          <w:i/>
          <w:iCs/>
          <w:lang w:val="hr-HR"/>
        </w:rPr>
        <w:t>Anal</w:t>
      </w:r>
      <w:r>
        <w:rPr>
          <w:rFonts w:ascii="Calibri" w:hAnsi="Calibri" w:cs="Calibri"/>
          <w:i/>
          <w:iCs/>
          <w:lang w:val="hr-HR"/>
        </w:rPr>
        <w:t>itičke studije o održivom urbanom razvoju</w:t>
      </w:r>
      <w:r w:rsidRPr="009B0C69">
        <w:rPr>
          <w:rFonts w:ascii="Calibri" w:hAnsi="Calibri" w:cs="Calibri"/>
          <w:lang w:val="hr-HR"/>
        </w:rPr>
        <w:t xml:space="preserve">, </w:t>
      </w:r>
      <w:r>
        <w:rPr>
          <w:rFonts w:ascii="Calibri" w:hAnsi="Calibri" w:cs="Calibri"/>
          <w:lang w:val="hr-HR"/>
        </w:rPr>
        <w:t xml:space="preserve">43 hrvatska grada dala su odgovore na pitanja o projektima urbanog razvoja koje bi mogli prijaviti za dodjelu sredstava u razdoblju 2014. – 2020. Od ukupno 361 projektne ideje, 235 su dali gradovi s više od 35.000 stanovnika. Od toga 53 projektne ideje imaju potencijal za primjenu JESSICA-e.  </w:t>
      </w:r>
    </w:p>
    <w:p w14:paraId="69A25384" w14:textId="77777777" w:rsidR="00132E7D" w:rsidRDefault="00132E7D" w:rsidP="00F030D3">
      <w:pPr>
        <w:spacing w:before="40" w:after="40" w:line="300" w:lineRule="auto"/>
        <w:rPr>
          <w:rFonts w:ascii="Calibri" w:hAnsi="Calibri" w:cs="Calibri"/>
          <w:lang w:val="hr-HR"/>
        </w:rPr>
      </w:pPr>
      <w:r>
        <w:rPr>
          <w:rFonts w:ascii="Calibri" w:hAnsi="Calibri" w:cs="Calibri"/>
          <w:lang w:val="hr-HR"/>
        </w:rPr>
        <w:t>Inicijalna analiza moguće snage potencijala projektnih ideja s obzirom na veličinu urbanog područja, nalazi se u donjoj tablici.</w:t>
      </w:r>
    </w:p>
    <w:p w14:paraId="136AD3BC" w14:textId="77777777" w:rsidR="00132E7D" w:rsidRDefault="00132E7D" w:rsidP="00F030D3">
      <w:pPr>
        <w:spacing w:before="40" w:after="40" w:line="300" w:lineRule="auto"/>
        <w:rPr>
          <w:rFonts w:ascii="Calibri" w:hAnsi="Calibri" w:cs="Calibri"/>
          <w:lang w:val="hr-HR"/>
        </w:rPr>
      </w:pPr>
      <w:r>
        <w:rPr>
          <w:rFonts w:ascii="Calibri" w:hAnsi="Calibri" w:cs="Calibri"/>
          <w:lang w:val="hr-HR"/>
        </w:rPr>
        <w:t>Pojedini gradovi s manje od 35.000 stanovnika također su iznijeli projektne ideje koje bi se u teoriji mogle financirati kroz instrument poput JESSICA-e. Njih smo izostavili iz analize zbog sumnji u mogućnost njihovog financiranja u sklopu JESSICA-e, uslijed malog broja stanovnika tih gradova.</w:t>
      </w:r>
    </w:p>
    <w:p w14:paraId="0449928A" w14:textId="77777777" w:rsidR="00132E7D" w:rsidRPr="009B0C69" w:rsidRDefault="00132E7D" w:rsidP="00F030D3">
      <w:pPr>
        <w:spacing w:before="40" w:after="40" w:line="300" w:lineRule="auto"/>
        <w:rPr>
          <w:rFonts w:ascii="Calibri" w:hAnsi="Calibri" w:cs="Calibri"/>
          <w:lang w:val="hr-HR"/>
        </w:rPr>
      </w:pPr>
    </w:p>
    <w:p w14:paraId="1587774D" w14:textId="77777777" w:rsidR="00132E7D" w:rsidRPr="009B0C69" w:rsidRDefault="00132E7D" w:rsidP="00F030D3">
      <w:pPr>
        <w:spacing w:before="40" w:after="40" w:line="300" w:lineRule="auto"/>
        <w:jc w:val="left"/>
        <w:rPr>
          <w:rFonts w:ascii="Calibri" w:hAnsi="Calibri" w:cs="Calibri"/>
          <w:lang w:val="hr-HR"/>
        </w:rPr>
      </w:pPr>
    </w:p>
    <w:p w14:paraId="08F87D2C" w14:textId="77777777" w:rsidR="00132E7D" w:rsidRPr="009B0C69" w:rsidRDefault="00132E7D" w:rsidP="00F030D3">
      <w:pPr>
        <w:spacing w:before="40" w:after="40" w:line="300" w:lineRule="auto"/>
        <w:jc w:val="left"/>
        <w:rPr>
          <w:rFonts w:ascii="Calibri" w:hAnsi="Calibri" w:cs="Calibri"/>
          <w:lang w:val="hr-HR"/>
        </w:rPr>
      </w:pPr>
    </w:p>
    <w:p w14:paraId="3FE6BD4D" w14:textId="77777777" w:rsidR="00132E7D" w:rsidRPr="009B0C69" w:rsidRDefault="00132E7D" w:rsidP="00F030D3">
      <w:pPr>
        <w:spacing w:before="40" w:after="40" w:line="300" w:lineRule="auto"/>
        <w:jc w:val="left"/>
        <w:rPr>
          <w:rFonts w:ascii="Calibri" w:hAnsi="Calibri" w:cs="Calibri"/>
          <w:lang w:val="hr-HR"/>
        </w:rPr>
      </w:pPr>
    </w:p>
    <w:p w14:paraId="11F91548" w14:textId="77777777" w:rsidR="00132E7D" w:rsidRPr="009B0C69" w:rsidRDefault="00132E7D" w:rsidP="00F030D3">
      <w:pPr>
        <w:spacing w:before="40" w:after="40" w:line="300" w:lineRule="auto"/>
        <w:jc w:val="left"/>
        <w:rPr>
          <w:rFonts w:ascii="Calibri" w:hAnsi="Calibri" w:cs="Calibri"/>
          <w:lang w:val="hr-HR"/>
        </w:rPr>
      </w:pPr>
    </w:p>
    <w:p w14:paraId="1BB22AA0" w14:textId="77777777" w:rsidR="00132E7D" w:rsidRPr="009B0C69" w:rsidRDefault="00132E7D" w:rsidP="00F030D3">
      <w:pPr>
        <w:spacing w:before="40" w:after="40" w:line="300" w:lineRule="auto"/>
        <w:jc w:val="left"/>
        <w:rPr>
          <w:rFonts w:ascii="Calibri" w:hAnsi="Calibri" w:cs="Calibri"/>
          <w:lang w:val="hr-H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3118"/>
        <w:gridCol w:w="3119"/>
      </w:tblGrid>
      <w:tr w:rsidR="00132E7D" w:rsidRPr="00CF2B98" w14:paraId="6FCE8534" w14:textId="77777777">
        <w:tc>
          <w:tcPr>
            <w:tcW w:w="8926" w:type="dxa"/>
            <w:gridSpan w:val="3"/>
          </w:tcPr>
          <w:p w14:paraId="1D19E9D5" w14:textId="77777777" w:rsidR="00132E7D" w:rsidRPr="009B0C69" w:rsidRDefault="00132E7D" w:rsidP="00F030D3">
            <w:pPr>
              <w:spacing w:before="40" w:after="40" w:line="300" w:lineRule="auto"/>
              <w:jc w:val="center"/>
              <w:rPr>
                <w:rFonts w:ascii="Calibri" w:hAnsi="Calibri" w:cs="Calibri"/>
                <w:i/>
                <w:iCs/>
                <w:lang w:val="hr-HR"/>
              </w:rPr>
            </w:pPr>
            <w:r w:rsidRPr="009B0C69">
              <w:rPr>
                <w:rFonts w:ascii="Calibri" w:hAnsi="Calibri" w:cs="Calibri"/>
                <w:i/>
                <w:iCs/>
                <w:lang w:val="hr-HR"/>
              </w:rPr>
              <w:t>Izvadak iz Upitnika o održivom urbanom razvoju – svibanj 2014.</w:t>
            </w:r>
          </w:p>
          <w:p w14:paraId="062C6294" w14:textId="77777777" w:rsidR="00132E7D" w:rsidRPr="009B0C69" w:rsidRDefault="00132E7D" w:rsidP="00F030D3">
            <w:pPr>
              <w:spacing w:before="40" w:after="40" w:line="300" w:lineRule="auto"/>
              <w:jc w:val="center"/>
              <w:rPr>
                <w:rFonts w:ascii="Calibri" w:hAnsi="Calibri" w:cs="Calibri"/>
                <w:b/>
                <w:bCs/>
                <w:lang w:val="hr-HR"/>
              </w:rPr>
            </w:pPr>
            <w:r w:rsidRPr="009B0C69">
              <w:rPr>
                <w:rFonts w:ascii="Calibri" w:hAnsi="Calibri" w:cs="Calibri"/>
                <w:b/>
                <w:bCs/>
                <w:lang w:val="hr-HR"/>
              </w:rPr>
              <w:t>Ini</w:t>
            </w:r>
            <w:r>
              <w:rPr>
                <w:rFonts w:ascii="Calibri" w:hAnsi="Calibri" w:cs="Calibri"/>
                <w:b/>
                <w:bCs/>
                <w:lang w:val="hr-HR"/>
              </w:rPr>
              <w:t xml:space="preserve">cijalna analiza potencijala projektnih </w:t>
            </w:r>
            <w:r w:rsidRPr="008F1F8A">
              <w:rPr>
                <w:rFonts w:ascii="Calibri" w:hAnsi="Calibri" w:cs="Calibri"/>
                <w:b/>
                <w:bCs/>
                <w:lang w:val="hr-HR"/>
              </w:rPr>
              <w:t xml:space="preserve">ideja hrvatskih urbanih područja </w:t>
            </w:r>
            <w:r>
              <w:rPr>
                <w:rFonts w:ascii="Calibri" w:hAnsi="Calibri" w:cs="Calibri"/>
                <w:b/>
                <w:bCs/>
                <w:lang w:val="hr-HR"/>
              </w:rPr>
              <w:t xml:space="preserve">za primjenu </w:t>
            </w:r>
            <w:r w:rsidRPr="009B0C69">
              <w:rPr>
                <w:rFonts w:ascii="Calibri" w:hAnsi="Calibri" w:cs="Calibri"/>
                <w:b/>
                <w:bCs/>
                <w:lang w:val="hr-HR"/>
              </w:rPr>
              <w:t>JESSICA</w:t>
            </w:r>
            <w:r>
              <w:rPr>
                <w:rFonts w:ascii="Calibri" w:hAnsi="Calibri" w:cs="Calibri"/>
                <w:b/>
                <w:bCs/>
                <w:lang w:val="hr-HR"/>
              </w:rPr>
              <w:t>-e</w:t>
            </w:r>
            <w:r w:rsidRPr="009B0C69">
              <w:rPr>
                <w:rFonts w:ascii="Calibri" w:hAnsi="Calibri" w:cs="Calibri"/>
                <w:b/>
                <w:bCs/>
                <w:lang w:val="hr-HR"/>
              </w:rPr>
              <w:t xml:space="preserve"> </w:t>
            </w:r>
          </w:p>
        </w:tc>
      </w:tr>
      <w:tr w:rsidR="00132E7D" w:rsidRPr="00CF2B98" w14:paraId="32132C49" w14:textId="77777777">
        <w:tc>
          <w:tcPr>
            <w:tcW w:w="2689" w:type="dxa"/>
          </w:tcPr>
          <w:p w14:paraId="60D919FE" w14:textId="77777777" w:rsidR="00132E7D" w:rsidRPr="009B0C69" w:rsidRDefault="00132E7D" w:rsidP="00F030D3">
            <w:pPr>
              <w:spacing w:before="40" w:after="40" w:line="300" w:lineRule="auto"/>
              <w:jc w:val="center"/>
              <w:rPr>
                <w:rFonts w:ascii="Calibri" w:hAnsi="Calibri" w:cs="Calibri"/>
                <w:b/>
                <w:bCs/>
                <w:sz w:val="20"/>
                <w:szCs w:val="20"/>
                <w:lang w:val="hr-HR"/>
              </w:rPr>
            </w:pPr>
            <w:r w:rsidRPr="009B0C69">
              <w:rPr>
                <w:rFonts w:ascii="Calibri" w:hAnsi="Calibri" w:cs="Calibri"/>
                <w:b/>
                <w:bCs/>
                <w:sz w:val="20"/>
                <w:szCs w:val="20"/>
                <w:lang w:val="hr-HR"/>
              </w:rPr>
              <w:t>Veličina urbanog područja</w:t>
            </w:r>
          </w:p>
        </w:tc>
        <w:tc>
          <w:tcPr>
            <w:tcW w:w="3118" w:type="dxa"/>
          </w:tcPr>
          <w:p w14:paraId="03C71A17" w14:textId="77777777" w:rsidR="00132E7D" w:rsidRPr="009B0C69" w:rsidRDefault="00132E7D" w:rsidP="00F030D3">
            <w:pPr>
              <w:spacing w:before="40" w:after="40" w:line="300" w:lineRule="auto"/>
              <w:jc w:val="center"/>
              <w:rPr>
                <w:rFonts w:ascii="Calibri" w:hAnsi="Calibri" w:cs="Calibri"/>
                <w:b/>
                <w:bCs/>
                <w:sz w:val="20"/>
                <w:szCs w:val="20"/>
                <w:lang w:val="hr-HR"/>
              </w:rPr>
            </w:pPr>
            <w:r w:rsidRPr="009B0C69">
              <w:rPr>
                <w:rFonts w:ascii="Calibri" w:hAnsi="Calibri" w:cs="Calibri"/>
                <w:b/>
                <w:bCs/>
                <w:sz w:val="20"/>
                <w:szCs w:val="20"/>
                <w:lang w:val="hr-HR"/>
              </w:rPr>
              <w:t>Visok potencijal za primjenu JESSICA-e</w:t>
            </w:r>
          </w:p>
        </w:tc>
        <w:tc>
          <w:tcPr>
            <w:tcW w:w="3119" w:type="dxa"/>
          </w:tcPr>
          <w:p w14:paraId="08409EA7" w14:textId="77777777" w:rsidR="00132E7D" w:rsidRPr="009B0C69" w:rsidRDefault="00132E7D" w:rsidP="00F030D3">
            <w:pPr>
              <w:spacing w:before="40" w:after="40" w:line="300" w:lineRule="auto"/>
              <w:jc w:val="center"/>
              <w:rPr>
                <w:rFonts w:ascii="Calibri" w:hAnsi="Calibri" w:cs="Calibri"/>
                <w:b/>
                <w:bCs/>
                <w:sz w:val="20"/>
                <w:szCs w:val="20"/>
                <w:lang w:val="hr-HR"/>
              </w:rPr>
            </w:pPr>
            <w:r w:rsidRPr="009B0C69">
              <w:rPr>
                <w:rFonts w:ascii="Calibri" w:hAnsi="Calibri" w:cs="Calibri"/>
                <w:b/>
                <w:bCs/>
                <w:sz w:val="20"/>
                <w:szCs w:val="20"/>
                <w:lang w:val="hr-HR"/>
              </w:rPr>
              <w:t>Srednje nizak potencijal za primjenu JESSICA-e</w:t>
            </w:r>
          </w:p>
        </w:tc>
      </w:tr>
      <w:tr w:rsidR="00132E7D" w:rsidRPr="009B0C69" w14:paraId="70C4CFC9" w14:textId="77777777">
        <w:tc>
          <w:tcPr>
            <w:tcW w:w="2689" w:type="dxa"/>
          </w:tcPr>
          <w:p w14:paraId="2496A82A" w14:textId="15B1BB07" w:rsidR="00132E7D" w:rsidRPr="009B0C69" w:rsidRDefault="00132E7D" w:rsidP="00F030D3">
            <w:pPr>
              <w:spacing w:before="40" w:after="40" w:line="300" w:lineRule="auto"/>
              <w:jc w:val="left"/>
              <w:rPr>
                <w:rFonts w:ascii="Calibri" w:hAnsi="Calibri" w:cs="Calibri"/>
                <w:sz w:val="18"/>
                <w:szCs w:val="18"/>
                <w:lang w:val="hr-HR"/>
              </w:rPr>
            </w:pPr>
            <w:r>
              <w:rPr>
                <w:rFonts w:ascii="Calibri" w:hAnsi="Calibri" w:cs="Calibri"/>
                <w:sz w:val="18"/>
                <w:szCs w:val="18"/>
                <w:lang w:val="hr-HR"/>
              </w:rPr>
              <w:t>Najveći gradovi</w:t>
            </w:r>
            <w:r w:rsidRPr="009B0C69">
              <w:rPr>
                <w:rFonts w:ascii="Calibri" w:hAnsi="Calibri" w:cs="Calibri"/>
                <w:sz w:val="18"/>
                <w:szCs w:val="18"/>
                <w:lang w:val="hr-HR"/>
              </w:rPr>
              <w:t xml:space="preserve"> (</w:t>
            </w:r>
            <w:r>
              <w:rPr>
                <w:rFonts w:ascii="Calibri" w:hAnsi="Calibri" w:cs="Calibri"/>
                <w:sz w:val="18"/>
                <w:szCs w:val="18"/>
                <w:lang w:val="hr-HR"/>
              </w:rPr>
              <w:t>s više od</w:t>
            </w:r>
            <w:r w:rsidRPr="009B0C69">
              <w:rPr>
                <w:rFonts w:ascii="Calibri" w:hAnsi="Calibri" w:cs="Calibri"/>
                <w:sz w:val="18"/>
                <w:szCs w:val="18"/>
                <w:lang w:val="hr-HR"/>
              </w:rPr>
              <w:t xml:space="preserve"> 100</w:t>
            </w:r>
            <w:r>
              <w:rPr>
                <w:rFonts w:ascii="Calibri" w:hAnsi="Calibri" w:cs="Calibri"/>
                <w:sz w:val="18"/>
                <w:szCs w:val="18"/>
                <w:lang w:val="hr-HR"/>
              </w:rPr>
              <w:t>.</w:t>
            </w:r>
            <w:r w:rsidRPr="009B0C69">
              <w:rPr>
                <w:rFonts w:ascii="Calibri" w:hAnsi="Calibri" w:cs="Calibri"/>
                <w:sz w:val="18"/>
                <w:szCs w:val="18"/>
                <w:lang w:val="hr-HR"/>
              </w:rPr>
              <w:t>000</w:t>
            </w:r>
            <w:r>
              <w:rPr>
                <w:rFonts w:ascii="Calibri" w:hAnsi="Calibri" w:cs="Calibri"/>
                <w:sz w:val="18"/>
                <w:szCs w:val="18"/>
                <w:lang w:val="hr-HR"/>
              </w:rPr>
              <w:t xml:space="preserve"> stanovnika</w:t>
            </w:r>
            <w:r w:rsidRPr="009B0C69">
              <w:rPr>
                <w:rFonts w:ascii="Calibri" w:hAnsi="Calibri" w:cs="Calibri"/>
                <w:sz w:val="18"/>
                <w:szCs w:val="18"/>
                <w:lang w:val="hr-HR"/>
              </w:rPr>
              <w:t>)</w:t>
            </w:r>
          </w:p>
        </w:tc>
        <w:tc>
          <w:tcPr>
            <w:tcW w:w="3118" w:type="dxa"/>
          </w:tcPr>
          <w:p w14:paraId="42BE1D36" w14:textId="77777777" w:rsidR="00132E7D" w:rsidRPr="009B0C69" w:rsidRDefault="00132E7D" w:rsidP="00F030D3">
            <w:pPr>
              <w:spacing w:before="40" w:after="40" w:line="300" w:lineRule="auto"/>
              <w:jc w:val="left"/>
              <w:rPr>
                <w:rFonts w:ascii="Calibri" w:hAnsi="Calibri" w:cs="Calibri"/>
                <w:sz w:val="18"/>
                <w:szCs w:val="18"/>
                <w:lang w:val="hr-HR"/>
              </w:rPr>
            </w:pPr>
            <w:r>
              <w:rPr>
                <w:rFonts w:ascii="Calibri" w:hAnsi="Calibri" w:cs="Calibri"/>
                <w:sz w:val="18"/>
                <w:szCs w:val="18"/>
                <w:lang w:val="hr-HR"/>
              </w:rPr>
              <w:t xml:space="preserve">Izdvojena su  </w:t>
            </w:r>
            <w:r w:rsidRPr="009B0C69">
              <w:rPr>
                <w:rFonts w:ascii="Calibri" w:hAnsi="Calibri" w:cs="Calibri"/>
                <w:sz w:val="18"/>
                <w:szCs w:val="18"/>
                <w:lang w:val="hr-HR"/>
              </w:rPr>
              <w:t xml:space="preserve">4 </w:t>
            </w:r>
            <w:r>
              <w:rPr>
                <w:rFonts w:ascii="Calibri" w:hAnsi="Calibri" w:cs="Calibri"/>
                <w:sz w:val="18"/>
                <w:szCs w:val="18"/>
                <w:lang w:val="hr-HR"/>
              </w:rPr>
              <w:t>slučaja</w:t>
            </w:r>
          </w:p>
          <w:p w14:paraId="1273852D" w14:textId="77777777" w:rsidR="00132E7D" w:rsidRPr="009B0C69" w:rsidRDefault="00132E7D" w:rsidP="00F030D3">
            <w:pPr>
              <w:spacing w:before="40" w:after="40" w:line="300" w:lineRule="auto"/>
              <w:jc w:val="left"/>
              <w:rPr>
                <w:rFonts w:ascii="Calibri" w:hAnsi="Calibri" w:cs="Calibri"/>
                <w:sz w:val="18"/>
                <w:szCs w:val="18"/>
                <w:lang w:val="hr-HR"/>
              </w:rPr>
            </w:pPr>
            <w:r>
              <w:rPr>
                <w:rFonts w:ascii="Calibri" w:hAnsi="Calibri" w:cs="Calibri"/>
                <w:sz w:val="18"/>
                <w:szCs w:val="18"/>
                <w:lang w:val="hr-HR"/>
              </w:rPr>
              <w:t>Primjer</w:t>
            </w:r>
            <w:r w:rsidRPr="009B0C69">
              <w:rPr>
                <w:rFonts w:ascii="Calibri" w:hAnsi="Calibri" w:cs="Calibri"/>
                <w:sz w:val="18"/>
                <w:szCs w:val="18"/>
                <w:lang w:val="hr-HR"/>
              </w:rPr>
              <w:t>:</w:t>
            </w:r>
          </w:p>
          <w:p w14:paraId="74C8B9AE" w14:textId="77777777" w:rsidR="00132E7D" w:rsidRPr="009B0C69" w:rsidRDefault="00132E7D" w:rsidP="00F030D3">
            <w:pPr>
              <w:pStyle w:val="ListParagraph"/>
              <w:numPr>
                <w:ilvl w:val="0"/>
                <w:numId w:val="31"/>
              </w:numPr>
              <w:spacing w:before="40" w:after="40" w:line="300" w:lineRule="auto"/>
              <w:jc w:val="left"/>
              <w:rPr>
                <w:rFonts w:ascii="Calibri" w:hAnsi="Calibri" w:cs="Calibri"/>
                <w:i/>
                <w:iCs/>
                <w:sz w:val="18"/>
                <w:szCs w:val="18"/>
                <w:lang w:val="hr-HR"/>
              </w:rPr>
            </w:pPr>
            <w:r>
              <w:rPr>
                <w:rFonts w:ascii="Calibri" w:hAnsi="Calibri" w:cs="Calibri"/>
                <w:i/>
                <w:iCs/>
                <w:sz w:val="18"/>
                <w:szCs w:val="18"/>
                <w:lang w:val="hr-HR"/>
              </w:rPr>
              <w:t>kongresni centar</w:t>
            </w:r>
          </w:p>
        </w:tc>
        <w:tc>
          <w:tcPr>
            <w:tcW w:w="3119" w:type="dxa"/>
          </w:tcPr>
          <w:p w14:paraId="53883A1A" w14:textId="77777777" w:rsidR="00132E7D" w:rsidRPr="009B0C69" w:rsidRDefault="00132E7D" w:rsidP="00F030D3">
            <w:pPr>
              <w:spacing w:before="40" w:after="40" w:line="300" w:lineRule="auto"/>
              <w:jc w:val="left"/>
              <w:rPr>
                <w:rFonts w:ascii="Calibri" w:hAnsi="Calibri" w:cs="Calibri"/>
                <w:sz w:val="18"/>
                <w:szCs w:val="18"/>
                <w:lang w:val="hr-HR"/>
              </w:rPr>
            </w:pPr>
            <w:r>
              <w:rPr>
                <w:rFonts w:ascii="Calibri" w:hAnsi="Calibri" w:cs="Calibri"/>
                <w:sz w:val="18"/>
                <w:szCs w:val="18"/>
                <w:lang w:val="hr-HR"/>
              </w:rPr>
              <w:t xml:space="preserve">Izdvojena su </w:t>
            </w:r>
            <w:r w:rsidRPr="009B0C69">
              <w:rPr>
                <w:rFonts w:ascii="Calibri" w:hAnsi="Calibri" w:cs="Calibri"/>
                <w:sz w:val="18"/>
                <w:szCs w:val="18"/>
                <w:lang w:val="hr-HR"/>
              </w:rPr>
              <w:t xml:space="preserve">22 </w:t>
            </w:r>
            <w:r>
              <w:rPr>
                <w:rFonts w:ascii="Calibri" w:hAnsi="Calibri" w:cs="Calibri"/>
                <w:sz w:val="18"/>
                <w:szCs w:val="18"/>
                <w:lang w:val="hr-HR"/>
              </w:rPr>
              <w:t>slučaja</w:t>
            </w:r>
          </w:p>
          <w:p w14:paraId="2C29D4E2" w14:textId="77777777" w:rsidR="00132E7D" w:rsidRPr="009B0C69" w:rsidRDefault="00132E7D" w:rsidP="00F030D3">
            <w:pPr>
              <w:spacing w:before="40" w:after="40" w:line="300" w:lineRule="auto"/>
              <w:jc w:val="left"/>
              <w:rPr>
                <w:rFonts w:ascii="Calibri" w:hAnsi="Calibri" w:cs="Calibri"/>
                <w:sz w:val="18"/>
                <w:szCs w:val="18"/>
                <w:lang w:val="hr-HR"/>
              </w:rPr>
            </w:pPr>
            <w:r>
              <w:rPr>
                <w:rFonts w:ascii="Calibri" w:hAnsi="Calibri" w:cs="Calibri"/>
                <w:sz w:val="18"/>
                <w:szCs w:val="18"/>
                <w:lang w:val="hr-HR"/>
              </w:rPr>
              <w:t>Primjeri</w:t>
            </w:r>
            <w:r w:rsidRPr="009B0C69">
              <w:rPr>
                <w:rFonts w:ascii="Calibri" w:hAnsi="Calibri" w:cs="Calibri"/>
                <w:sz w:val="18"/>
                <w:szCs w:val="18"/>
                <w:lang w:val="hr-HR"/>
              </w:rPr>
              <w:t>:</w:t>
            </w:r>
          </w:p>
          <w:p w14:paraId="5BD8A8FB" w14:textId="77777777" w:rsidR="00132E7D" w:rsidRPr="009B0C69" w:rsidRDefault="00132E7D" w:rsidP="00F030D3">
            <w:pPr>
              <w:pStyle w:val="ListParagraph"/>
              <w:numPr>
                <w:ilvl w:val="0"/>
                <w:numId w:val="30"/>
              </w:numPr>
              <w:spacing w:before="40" w:after="40" w:line="300" w:lineRule="auto"/>
              <w:jc w:val="left"/>
              <w:rPr>
                <w:rFonts w:ascii="Calibri" w:hAnsi="Calibri" w:cs="Calibri"/>
                <w:sz w:val="18"/>
                <w:szCs w:val="18"/>
                <w:lang w:val="hr-HR"/>
              </w:rPr>
            </w:pPr>
            <w:r>
              <w:rPr>
                <w:rFonts w:ascii="Calibri" w:hAnsi="Calibri" w:cs="Calibri"/>
                <w:sz w:val="18"/>
                <w:szCs w:val="18"/>
                <w:lang w:val="hr-HR"/>
              </w:rPr>
              <w:t>razvoj luke</w:t>
            </w:r>
          </w:p>
          <w:p w14:paraId="21D79EF2" w14:textId="77777777" w:rsidR="00132E7D" w:rsidRPr="009B0C69" w:rsidRDefault="00132E7D" w:rsidP="00F030D3">
            <w:pPr>
              <w:pStyle w:val="ListParagraph"/>
              <w:numPr>
                <w:ilvl w:val="0"/>
                <w:numId w:val="30"/>
              </w:numPr>
              <w:spacing w:before="40" w:after="40" w:line="300" w:lineRule="auto"/>
              <w:jc w:val="left"/>
              <w:rPr>
                <w:rFonts w:ascii="Calibri" w:hAnsi="Calibri" w:cs="Calibri"/>
                <w:sz w:val="18"/>
                <w:szCs w:val="18"/>
                <w:lang w:val="hr-HR"/>
              </w:rPr>
            </w:pPr>
            <w:r>
              <w:rPr>
                <w:rFonts w:ascii="Calibri" w:hAnsi="Calibri" w:cs="Calibri"/>
                <w:sz w:val="18"/>
                <w:szCs w:val="18"/>
                <w:lang w:val="hr-HR"/>
              </w:rPr>
              <w:t>poslovne zone</w:t>
            </w:r>
          </w:p>
          <w:p w14:paraId="67F963C2" w14:textId="77777777" w:rsidR="00132E7D" w:rsidRPr="009B0C69" w:rsidRDefault="00132E7D" w:rsidP="00F030D3">
            <w:pPr>
              <w:pStyle w:val="ListParagraph"/>
              <w:numPr>
                <w:ilvl w:val="0"/>
                <w:numId w:val="30"/>
              </w:numPr>
              <w:spacing w:before="40" w:after="40" w:line="300" w:lineRule="auto"/>
              <w:jc w:val="left"/>
              <w:rPr>
                <w:rFonts w:ascii="Calibri" w:hAnsi="Calibri" w:cs="Calibri"/>
                <w:sz w:val="18"/>
                <w:szCs w:val="18"/>
                <w:lang w:val="hr-HR"/>
              </w:rPr>
            </w:pPr>
            <w:r>
              <w:rPr>
                <w:rFonts w:ascii="Calibri" w:hAnsi="Calibri" w:cs="Calibri"/>
                <w:sz w:val="18"/>
                <w:szCs w:val="18"/>
                <w:lang w:val="hr-HR"/>
              </w:rPr>
              <w:t>sveučilišni kampusi</w:t>
            </w:r>
          </w:p>
          <w:p w14:paraId="6574EC01" w14:textId="77777777" w:rsidR="00132E7D" w:rsidRPr="009B0C69" w:rsidRDefault="00132E7D" w:rsidP="00F030D3">
            <w:pPr>
              <w:pStyle w:val="ListParagraph"/>
              <w:numPr>
                <w:ilvl w:val="0"/>
                <w:numId w:val="30"/>
              </w:numPr>
              <w:spacing w:before="40" w:after="40" w:line="300" w:lineRule="auto"/>
              <w:jc w:val="left"/>
              <w:rPr>
                <w:rFonts w:ascii="Calibri" w:hAnsi="Calibri" w:cs="Calibri"/>
                <w:sz w:val="18"/>
                <w:szCs w:val="18"/>
                <w:lang w:val="hr-HR"/>
              </w:rPr>
            </w:pPr>
            <w:r>
              <w:rPr>
                <w:rFonts w:ascii="Calibri" w:hAnsi="Calibri" w:cs="Calibri"/>
                <w:sz w:val="18"/>
                <w:szCs w:val="18"/>
                <w:lang w:val="hr-HR"/>
              </w:rPr>
              <w:t>obnova povijesne jezgre</w:t>
            </w:r>
          </w:p>
          <w:p w14:paraId="518EDD18" w14:textId="77777777" w:rsidR="00132E7D" w:rsidRPr="009B0C69" w:rsidRDefault="00132E7D" w:rsidP="00F030D3">
            <w:pPr>
              <w:pStyle w:val="ListParagraph"/>
              <w:numPr>
                <w:ilvl w:val="0"/>
                <w:numId w:val="30"/>
              </w:numPr>
              <w:spacing w:before="40" w:after="40" w:line="300" w:lineRule="auto"/>
              <w:jc w:val="left"/>
              <w:rPr>
                <w:rFonts w:ascii="Calibri" w:hAnsi="Calibri" w:cs="Calibri"/>
                <w:i/>
                <w:iCs/>
                <w:sz w:val="18"/>
                <w:szCs w:val="18"/>
                <w:lang w:val="hr-HR"/>
              </w:rPr>
            </w:pPr>
            <w:r>
              <w:rPr>
                <w:rFonts w:ascii="Calibri" w:hAnsi="Calibri" w:cs="Calibri"/>
                <w:i/>
                <w:iCs/>
                <w:sz w:val="18"/>
                <w:szCs w:val="18"/>
                <w:lang w:val="hr-HR"/>
              </w:rPr>
              <w:t>parkirališne garaže</w:t>
            </w:r>
          </w:p>
        </w:tc>
      </w:tr>
      <w:tr w:rsidR="00132E7D" w:rsidRPr="009B0C69" w14:paraId="75FCE963" w14:textId="77777777">
        <w:tc>
          <w:tcPr>
            <w:tcW w:w="2689" w:type="dxa"/>
          </w:tcPr>
          <w:p w14:paraId="49644BB4" w14:textId="77777777" w:rsidR="00132E7D" w:rsidRPr="009B0C69" w:rsidRDefault="00132E7D" w:rsidP="00F030D3">
            <w:pPr>
              <w:spacing w:before="40" w:after="40" w:line="300" w:lineRule="auto"/>
              <w:jc w:val="left"/>
              <w:rPr>
                <w:rFonts w:ascii="Calibri" w:hAnsi="Calibri" w:cs="Calibri"/>
                <w:sz w:val="18"/>
                <w:szCs w:val="18"/>
                <w:lang w:val="hr-HR"/>
              </w:rPr>
            </w:pPr>
            <w:r>
              <w:rPr>
                <w:rFonts w:ascii="Calibri" w:hAnsi="Calibri" w:cs="Calibri"/>
                <w:sz w:val="18"/>
                <w:szCs w:val="18"/>
                <w:lang w:val="hr-HR"/>
              </w:rPr>
              <w:t>Srednje veliki gradovi</w:t>
            </w:r>
            <w:r w:rsidRPr="009B0C69">
              <w:rPr>
                <w:rFonts w:ascii="Calibri" w:hAnsi="Calibri" w:cs="Calibri"/>
                <w:sz w:val="18"/>
                <w:szCs w:val="18"/>
                <w:lang w:val="hr-HR"/>
              </w:rPr>
              <w:t xml:space="preserve"> (</w:t>
            </w:r>
            <w:r>
              <w:rPr>
                <w:rFonts w:ascii="Calibri" w:hAnsi="Calibri" w:cs="Calibri"/>
                <w:sz w:val="18"/>
                <w:szCs w:val="18"/>
                <w:lang w:val="hr-HR"/>
              </w:rPr>
              <w:t>između</w:t>
            </w:r>
            <w:r w:rsidRPr="009B0C69">
              <w:rPr>
                <w:rFonts w:ascii="Calibri" w:hAnsi="Calibri" w:cs="Calibri"/>
                <w:sz w:val="18"/>
                <w:szCs w:val="18"/>
                <w:lang w:val="hr-HR"/>
              </w:rPr>
              <w:t xml:space="preserve"> 35</w:t>
            </w:r>
            <w:r>
              <w:rPr>
                <w:rFonts w:ascii="Calibri" w:hAnsi="Calibri" w:cs="Calibri"/>
                <w:sz w:val="18"/>
                <w:szCs w:val="18"/>
                <w:lang w:val="hr-HR"/>
              </w:rPr>
              <w:t>.</w:t>
            </w:r>
            <w:r w:rsidRPr="009B0C69">
              <w:rPr>
                <w:rFonts w:ascii="Calibri" w:hAnsi="Calibri" w:cs="Calibri"/>
                <w:sz w:val="18"/>
                <w:szCs w:val="18"/>
                <w:lang w:val="hr-HR"/>
              </w:rPr>
              <w:t xml:space="preserve">000 </w:t>
            </w:r>
            <w:r>
              <w:rPr>
                <w:rFonts w:ascii="Calibri" w:hAnsi="Calibri" w:cs="Calibri"/>
                <w:sz w:val="18"/>
                <w:szCs w:val="18"/>
                <w:lang w:val="hr-HR"/>
              </w:rPr>
              <w:t>i 100.</w:t>
            </w:r>
            <w:r w:rsidRPr="009B0C69">
              <w:rPr>
                <w:rFonts w:ascii="Calibri" w:hAnsi="Calibri" w:cs="Calibri"/>
                <w:sz w:val="18"/>
                <w:szCs w:val="18"/>
                <w:lang w:val="hr-HR"/>
              </w:rPr>
              <w:t>000</w:t>
            </w:r>
            <w:r>
              <w:rPr>
                <w:rFonts w:ascii="Calibri" w:hAnsi="Calibri" w:cs="Calibri"/>
                <w:sz w:val="18"/>
                <w:szCs w:val="18"/>
                <w:lang w:val="hr-HR"/>
              </w:rPr>
              <w:t xml:space="preserve"> stanovnika</w:t>
            </w:r>
            <w:r w:rsidRPr="009B0C69">
              <w:rPr>
                <w:rFonts w:ascii="Calibri" w:hAnsi="Calibri" w:cs="Calibri"/>
                <w:sz w:val="18"/>
                <w:szCs w:val="18"/>
                <w:lang w:val="hr-HR"/>
              </w:rPr>
              <w:t>)</w:t>
            </w:r>
          </w:p>
        </w:tc>
        <w:tc>
          <w:tcPr>
            <w:tcW w:w="3118" w:type="dxa"/>
          </w:tcPr>
          <w:p w14:paraId="27B911A2" w14:textId="77777777" w:rsidR="00132E7D" w:rsidRPr="009B0C69" w:rsidRDefault="00132E7D" w:rsidP="00F030D3">
            <w:pPr>
              <w:spacing w:before="40" w:after="40" w:line="300" w:lineRule="auto"/>
              <w:jc w:val="left"/>
              <w:rPr>
                <w:rFonts w:ascii="Calibri" w:hAnsi="Calibri" w:cs="Calibri"/>
                <w:sz w:val="18"/>
                <w:szCs w:val="18"/>
                <w:lang w:val="hr-HR"/>
              </w:rPr>
            </w:pPr>
            <w:r>
              <w:rPr>
                <w:rFonts w:ascii="Calibri" w:hAnsi="Calibri" w:cs="Calibri"/>
                <w:sz w:val="18"/>
                <w:szCs w:val="18"/>
                <w:lang w:val="hr-HR"/>
              </w:rPr>
              <w:t>Izdvojeno je 13 slučajeva</w:t>
            </w:r>
          </w:p>
          <w:p w14:paraId="01E63425" w14:textId="77777777" w:rsidR="00132E7D" w:rsidRPr="009B0C69" w:rsidRDefault="00132E7D" w:rsidP="00F030D3">
            <w:pPr>
              <w:spacing w:before="40" w:after="40" w:line="300" w:lineRule="auto"/>
              <w:jc w:val="left"/>
              <w:rPr>
                <w:rFonts w:ascii="Calibri" w:hAnsi="Calibri" w:cs="Calibri"/>
                <w:sz w:val="18"/>
                <w:szCs w:val="18"/>
                <w:lang w:val="hr-HR"/>
              </w:rPr>
            </w:pPr>
            <w:r>
              <w:rPr>
                <w:rFonts w:ascii="Calibri" w:hAnsi="Calibri" w:cs="Calibri"/>
                <w:sz w:val="18"/>
                <w:szCs w:val="18"/>
                <w:lang w:val="hr-HR"/>
              </w:rPr>
              <w:t>Primjeri</w:t>
            </w:r>
            <w:r w:rsidRPr="009B0C69">
              <w:rPr>
                <w:rFonts w:ascii="Calibri" w:hAnsi="Calibri" w:cs="Calibri"/>
                <w:sz w:val="18"/>
                <w:szCs w:val="18"/>
                <w:lang w:val="hr-HR"/>
              </w:rPr>
              <w:t>:</w:t>
            </w:r>
          </w:p>
          <w:p w14:paraId="776B1D12" w14:textId="77777777" w:rsidR="00132E7D" w:rsidRPr="009B0C69" w:rsidRDefault="00132E7D" w:rsidP="00F030D3">
            <w:pPr>
              <w:pStyle w:val="ListParagraph"/>
              <w:numPr>
                <w:ilvl w:val="0"/>
                <w:numId w:val="30"/>
              </w:numPr>
              <w:spacing w:before="40" w:after="40" w:line="300" w:lineRule="auto"/>
              <w:jc w:val="left"/>
              <w:rPr>
                <w:rFonts w:ascii="Calibri" w:hAnsi="Calibri" w:cs="Calibri"/>
                <w:sz w:val="18"/>
                <w:szCs w:val="18"/>
                <w:lang w:val="hr-HR"/>
              </w:rPr>
            </w:pPr>
            <w:r>
              <w:rPr>
                <w:rFonts w:ascii="Calibri" w:hAnsi="Calibri" w:cs="Calibri"/>
                <w:sz w:val="18"/>
                <w:szCs w:val="18"/>
                <w:lang w:val="hr-HR"/>
              </w:rPr>
              <w:t xml:space="preserve">tehnološko-inovacijski centri </w:t>
            </w:r>
          </w:p>
          <w:p w14:paraId="63472D22" w14:textId="77777777" w:rsidR="00132E7D" w:rsidRPr="009B0C69" w:rsidRDefault="00132E7D" w:rsidP="00F030D3">
            <w:pPr>
              <w:pStyle w:val="ListParagraph"/>
              <w:numPr>
                <w:ilvl w:val="0"/>
                <w:numId w:val="30"/>
              </w:numPr>
              <w:spacing w:before="40" w:after="40" w:line="300" w:lineRule="auto"/>
              <w:jc w:val="left"/>
              <w:rPr>
                <w:rFonts w:ascii="Calibri" w:hAnsi="Calibri" w:cs="Calibri"/>
                <w:sz w:val="18"/>
                <w:szCs w:val="18"/>
                <w:lang w:val="hr-HR"/>
              </w:rPr>
            </w:pPr>
            <w:r>
              <w:rPr>
                <w:rFonts w:ascii="Calibri" w:hAnsi="Calibri" w:cs="Calibri"/>
                <w:sz w:val="18"/>
                <w:szCs w:val="18"/>
                <w:lang w:val="hr-HR"/>
              </w:rPr>
              <w:t xml:space="preserve">poslovne zone </w:t>
            </w:r>
            <w:r w:rsidRPr="00C1648B">
              <w:rPr>
                <w:rFonts w:ascii="Calibri" w:hAnsi="Calibri" w:cs="Calibri"/>
                <w:i/>
                <w:iCs/>
                <w:sz w:val="18"/>
                <w:szCs w:val="18"/>
                <w:lang w:val="hr-HR"/>
              </w:rPr>
              <w:t>Gateway</w:t>
            </w:r>
            <w:r w:rsidRPr="009B0C69">
              <w:rPr>
                <w:rFonts w:ascii="Calibri" w:hAnsi="Calibri" w:cs="Calibri"/>
                <w:sz w:val="18"/>
                <w:szCs w:val="18"/>
                <w:lang w:val="hr-HR"/>
              </w:rPr>
              <w:t xml:space="preserve"> (</w:t>
            </w:r>
            <w:r>
              <w:rPr>
                <w:rFonts w:ascii="Calibri" w:hAnsi="Calibri" w:cs="Calibri"/>
                <w:sz w:val="18"/>
                <w:szCs w:val="18"/>
                <w:lang w:val="hr-HR"/>
              </w:rPr>
              <w:t>uklj</w:t>
            </w:r>
            <w:r w:rsidRPr="009B0C69">
              <w:rPr>
                <w:rFonts w:ascii="Calibri" w:hAnsi="Calibri" w:cs="Calibri"/>
                <w:sz w:val="18"/>
                <w:szCs w:val="18"/>
                <w:lang w:val="hr-HR"/>
              </w:rPr>
              <w:t xml:space="preserve">. </w:t>
            </w:r>
            <w:r w:rsidRPr="00591651">
              <w:rPr>
                <w:rFonts w:ascii="Calibri" w:hAnsi="Calibri" w:cs="Calibri"/>
                <w:i/>
                <w:iCs/>
                <w:sz w:val="18"/>
                <w:szCs w:val="18"/>
                <w:lang w:val="hr-HR"/>
              </w:rPr>
              <w:t>brownfield</w:t>
            </w:r>
            <w:r w:rsidRPr="009B0C69">
              <w:rPr>
                <w:rFonts w:ascii="Calibri" w:hAnsi="Calibri" w:cs="Calibri"/>
                <w:sz w:val="18"/>
                <w:szCs w:val="18"/>
                <w:lang w:val="hr-HR"/>
              </w:rPr>
              <w:t>)</w:t>
            </w:r>
          </w:p>
          <w:p w14:paraId="3C9B49FE" w14:textId="77777777" w:rsidR="00132E7D" w:rsidRPr="009B0C69" w:rsidRDefault="00132E7D" w:rsidP="00F030D3">
            <w:pPr>
              <w:pStyle w:val="ListParagraph"/>
              <w:numPr>
                <w:ilvl w:val="0"/>
                <w:numId w:val="30"/>
              </w:numPr>
              <w:spacing w:before="40" w:after="40" w:line="300" w:lineRule="auto"/>
              <w:jc w:val="left"/>
              <w:rPr>
                <w:rFonts w:ascii="Calibri" w:hAnsi="Calibri" w:cs="Calibri"/>
                <w:sz w:val="18"/>
                <w:szCs w:val="18"/>
                <w:lang w:val="hr-HR"/>
              </w:rPr>
            </w:pPr>
            <w:r>
              <w:rPr>
                <w:rFonts w:ascii="Calibri" w:hAnsi="Calibri" w:cs="Calibri"/>
                <w:sz w:val="18"/>
                <w:szCs w:val="18"/>
                <w:lang w:val="hr-HR"/>
              </w:rPr>
              <w:t xml:space="preserve">zelene poslovne zgrade </w:t>
            </w:r>
          </w:p>
          <w:p w14:paraId="2C726A8B" w14:textId="77777777" w:rsidR="00132E7D" w:rsidRPr="009B0C69" w:rsidRDefault="00132E7D" w:rsidP="00F030D3">
            <w:pPr>
              <w:pStyle w:val="ListParagraph"/>
              <w:numPr>
                <w:ilvl w:val="0"/>
                <w:numId w:val="30"/>
              </w:numPr>
              <w:spacing w:before="40" w:after="40" w:line="300" w:lineRule="auto"/>
              <w:jc w:val="left"/>
              <w:rPr>
                <w:rFonts w:ascii="Calibri" w:hAnsi="Calibri" w:cs="Calibri"/>
                <w:i/>
                <w:iCs/>
                <w:sz w:val="18"/>
                <w:szCs w:val="18"/>
                <w:lang w:val="hr-HR"/>
              </w:rPr>
            </w:pPr>
            <w:r>
              <w:rPr>
                <w:rFonts w:ascii="Calibri" w:hAnsi="Calibri" w:cs="Calibri"/>
                <w:i/>
                <w:iCs/>
                <w:sz w:val="18"/>
                <w:szCs w:val="18"/>
                <w:lang w:val="hr-HR"/>
              </w:rPr>
              <w:t>turističke atrakcije, npr. tematski</w:t>
            </w:r>
            <w:r w:rsidRPr="009B0C69">
              <w:rPr>
                <w:rFonts w:ascii="Calibri" w:hAnsi="Calibri" w:cs="Calibri"/>
                <w:i/>
                <w:iCs/>
                <w:sz w:val="18"/>
                <w:szCs w:val="18"/>
                <w:lang w:val="hr-HR"/>
              </w:rPr>
              <w:t xml:space="preserve"> park</w:t>
            </w:r>
            <w:r>
              <w:rPr>
                <w:rFonts w:ascii="Calibri" w:hAnsi="Calibri" w:cs="Calibri"/>
                <w:i/>
                <w:iCs/>
                <w:sz w:val="18"/>
                <w:szCs w:val="18"/>
                <w:lang w:val="hr-HR"/>
              </w:rPr>
              <w:t>ovi</w:t>
            </w:r>
            <w:r w:rsidRPr="009B0C69">
              <w:rPr>
                <w:rFonts w:ascii="Calibri" w:hAnsi="Calibri" w:cs="Calibri"/>
                <w:i/>
                <w:iCs/>
                <w:sz w:val="18"/>
                <w:szCs w:val="18"/>
                <w:lang w:val="hr-HR"/>
              </w:rPr>
              <w:t xml:space="preserve"> / marin</w:t>
            </w:r>
            <w:r>
              <w:rPr>
                <w:rFonts w:ascii="Calibri" w:hAnsi="Calibri" w:cs="Calibri"/>
                <w:i/>
                <w:iCs/>
                <w:sz w:val="18"/>
                <w:szCs w:val="18"/>
                <w:lang w:val="hr-HR"/>
              </w:rPr>
              <w:t>e</w:t>
            </w:r>
          </w:p>
          <w:p w14:paraId="3C6E2519" w14:textId="77777777" w:rsidR="00132E7D" w:rsidRPr="009B0C69" w:rsidRDefault="00132E7D" w:rsidP="00F030D3">
            <w:pPr>
              <w:pStyle w:val="ListParagraph"/>
              <w:numPr>
                <w:ilvl w:val="0"/>
                <w:numId w:val="30"/>
              </w:numPr>
              <w:spacing w:before="40" w:after="40" w:line="300" w:lineRule="auto"/>
              <w:jc w:val="left"/>
              <w:rPr>
                <w:rFonts w:ascii="Calibri" w:hAnsi="Calibri" w:cs="Calibri"/>
                <w:sz w:val="18"/>
                <w:szCs w:val="18"/>
                <w:lang w:val="hr-HR"/>
              </w:rPr>
            </w:pPr>
            <w:r>
              <w:rPr>
                <w:rFonts w:ascii="Calibri" w:hAnsi="Calibri" w:cs="Calibri"/>
                <w:i/>
                <w:iCs/>
                <w:sz w:val="18"/>
                <w:szCs w:val="18"/>
                <w:lang w:val="hr-HR"/>
              </w:rPr>
              <w:t>mješoviti razvoj</w:t>
            </w:r>
            <w:r w:rsidRPr="009B0C69">
              <w:rPr>
                <w:rFonts w:ascii="Calibri" w:hAnsi="Calibri" w:cs="Calibri"/>
                <w:i/>
                <w:iCs/>
                <w:sz w:val="18"/>
                <w:szCs w:val="18"/>
                <w:lang w:val="hr-HR"/>
              </w:rPr>
              <w:t xml:space="preserve"> – </w:t>
            </w:r>
            <w:r>
              <w:rPr>
                <w:rFonts w:ascii="Calibri" w:hAnsi="Calibri" w:cs="Calibri"/>
                <w:i/>
                <w:iCs/>
                <w:sz w:val="18"/>
                <w:szCs w:val="18"/>
                <w:lang w:val="hr-HR"/>
              </w:rPr>
              <w:t>k</w:t>
            </w:r>
            <w:r w:rsidRPr="009B0C69">
              <w:rPr>
                <w:rFonts w:ascii="Calibri" w:hAnsi="Calibri" w:cs="Calibri"/>
                <w:i/>
                <w:iCs/>
                <w:sz w:val="18"/>
                <w:szCs w:val="18"/>
                <w:lang w:val="hr-HR"/>
              </w:rPr>
              <w:t>ongre</w:t>
            </w:r>
            <w:r>
              <w:rPr>
                <w:rFonts w:ascii="Calibri" w:hAnsi="Calibri" w:cs="Calibri"/>
                <w:i/>
                <w:iCs/>
                <w:sz w:val="18"/>
                <w:szCs w:val="18"/>
                <w:lang w:val="hr-HR"/>
              </w:rPr>
              <w:t xml:space="preserve">sni centri </w:t>
            </w:r>
            <w:r w:rsidRPr="009B0C69">
              <w:rPr>
                <w:rFonts w:ascii="Calibri" w:hAnsi="Calibri" w:cs="Calibri"/>
                <w:i/>
                <w:iCs/>
                <w:sz w:val="18"/>
                <w:szCs w:val="18"/>
                <w:lang w:val="hr-HR"/>
              </w:rPr>
              <w:t>/ sports</w:t>
            </w:r>
            <w:r>
              <w:rPr>
                <w:rFonts w:ascii="Calibri" w:hAnsi="Calibri" w:cs="Calibri"/>
                <w:i/>
                <w:iCs/>
                <w:sz w:val="18"/>
                <w:szCs w:val="18"/>
                <w:lang w:val="hr-HR"/>
              </w:rPr>
              <w:t xml:space="preserve">ki sadržaji </w:t>
            </w:r>
          </w:p>
        </w:tc>
        <w:tc>
          <w:tcPr>
            <w:tcW w:w="3119" w:type="dxa"/>
          </w:tcPr>
          <w:p w14:paraId="6891F850" w14:textId="77777777" w:rsidR="00132E7D" w:rsidRPr="009B0C69" w:rsidRDefault="00132E7D" w:rsidP="00F030D3">
            <w:pPr>
              <w:spacing w:before="40" w:after="40" w:line="300" w:lineRule="auto"/>
              <w:jc w:val="left"/>
              <w:rPr>
                <w:rFonts w:ascii="Calibri" w:hAnsi="Calibri" w:cs="Calibri"/>
                <w:sz w:val="18"/>
                <w:szCs w:val="18"/>
                <w:lang w:val="hr-HR"/>
              </w:rPr>
            </w:pPr>
            <w:r>
              <w:rPr>
                <w:rFonts w:ascii="Calibri" w:hAnsi="Calibri" w:cs="Calibri"/>
                <w:sz w:val="18"/>
                <w:szCs w:val="18"/>
                <w:lang w:val="hr-HR"/>
              </w:rPr>
              <w:t xml:space="preserve">Izdvojeno je </w:t>
            </w:r>
            <w:r w:rsidRPr="009B0C69">
              <w:rPr>
                <w:rFonts w:ascii="Calibri" w:hAnsi="Calibri" w:cs="Calibri"/>
                <w:sz w:val="18"/>
                <w:szCs w:val="18"/>
                <w:lang w:val="hr-HR"/>
              </w:rPr>
              <w:t xml:space="preserve">14 </w:t>
            </w:r>
            <w:r>
              <w:rPr>
                <w:rFonts w:ascii="Calibri" w:hAnsi="Calibri" w:cs="Calibri"/>
                <w:sz w:val="18"/>
                <w:szCs w:val="18"/>
                <w:lang w:val="hr-HR"/>
              </w:rPr>
              <w:t>slučajeva</w:t>
            </w:r>
          </w:p>
          <w:p w14:paraId="42EFF2CC" w14:textId="77777777" w:rsidR="00132E7D" w:rsidRPr="009B0C69" w:rsidRDefault="00132E7D" w:rsidP="00F030D3">
            <w:pPr>
              <w:spacing w:before="40" w:after="40" w:line="300" w:lineRule="auto"/>
              <w:jc w:val="left"/>
              <w:rPr>
                <w:rFonts w:ascii="Calibri" w:hAnsi="Calibri" w:cs="Calibri"/>
                <w:sz w:val="18"/>
                <w:szCs w:val="18"/>
                <w:lang w:val="hr-HR"/>
              </w:rPr>
            </w:pPr>
            <w:r>
              <w:rPr>
                <w:rFonts w:ascii="Calibri" w:hAnsi="Calibri" w:cs="Calibri"/>
                <w:sz w:val="18"/>
                <w:szCs w:val="18"/>
                <w:lang w:val="hr-HR"/>
              </w:rPr>
              <w:t>Primjeri</w:t>
            </w:r>
            <w:r w:rsidRPr="009B0C69">
              <w:rPr>
                <w:rFonts w:ascii="Calibri" w:hAnsi="Calibri" w:cs="Calibri"/>
                <w:sz w:val="18"/>
                <w:szCs w:val="18"/>
                <w:lang w:val="hr-HR"/>
              </w:rPr>
              <w:t>:</w:t>
            </w:r>
          </w:p>
          <w:p w14:paraId="0A425EDE" w14:textId="77777777" w:rsidR="00132E7D" w:rsidRPr="009B0C69" w:rsidRDefault="00132E7D" w:rsidP="00F030D3">
            <w:pPr>
              <w:pStyle w:val="ListParagraph"/>
              <w:numPr>
                <w:ilvl w:val="0"/>
                <w:numId w:val="30"/>
              </w:numPr>
              <w:spacing w:before="40" w:after="40" w:line="300" w:lineRule="auto"/>
              <w:jc w:val="left"/>
              <w:rPr>
                <w:rFonts w:ascii="Calibri" w:hAnsi="Calibri" w:cs="Calibri"/>
                <w:sz w:val="18"/>
                <w:szCs w:val="18"/>
                <w:lang w:val="hr-HR"/>
              </w:rPr>
            </w:pPr>
            <w:r>
              <w:rPr>
                <w:rFonts w:ascii="Calibri" w:hAnsi="Calibri" w:cs="Calibri"/>
                <w:sz w:val="18"/>
                <w:szCs w:val="18"/>
                <w:lang w:val="hr-HR"/>
              </w:rPr>
              <w:t>razvoj luke</w:t>
            </w:r>
          </w:p>
          <w:p w14:paraId="2F3E2D90" w14:textId="77777777" w:rsidR="00132E7D" w:rsidRPr="009B0C69" w:rsidRDefault="00132E7D" w:rsidP="00F030D3">
            <w:pPr>
              <w:pStyle w:val="ListParagraph"/>
              <w:numPr>
                <w:ilvl w:val="0"/>
                <w:numId w:val="30"/>
              </w:numPr>
              <w:spacing w:before="40" w:after="40" w:line="300" w:lineRule="auto"/>
              <w:jc w:val="left"/>
              <w:rPr>
                <w:rFonts w:ascii="Calibri" w:hAnsi="Calibri" w:cs="Calibri"/>
                <w:sz w:val="18"/>
                <w:szCs w:val="18"/>
                <w:lang w:val="hr-HR"/>
              </w:rPr>
            </w:pPr>
            <w:r>
              <w:rPr>
                <w:rFonts w:ascii="Calibri" w:hAnsi="Calibri" w:cs="Calibri"/>
                <w:sz w:val="18"/>
                <w:szCs w:val="18"/>
                <w:lang w:val="hr-HR"/>
              </w:rPr>
              <w:t>manje poslovne zone</w:t>
            </w:r>
          </w:p>
          <w:p w14:paraId="7F66A8A7" w14:textId="77777777" w:rsidR="00132E7D" w:rsidRPr="009B0C69" w:rsidRDefault="00132E7D" w:rsidP="00F030D3">
            <w:pPr>
              <w:pStyle w:val="ListParagraph"/>
              <w:numPr>
                <w:ilvl w:val="0"/>
                <w:numId w:val="30"/>
              </w:numPr>
              <w:spacing w:before="40" w:after="40" w:line="300" w:lineRule="auto"/>
              <w:jc w:val="left"/>
              <w:rPr>
                <w:rFonts w:ascii="Calibri" w:hAnsi="Calibri" w:cs="Calibri"/>
                <w:sz w:val="18"/>
                <w:szCs w:val="18"/>
                <w:lang w:val="hr-HR"/>
              </w:rPr>
            </w:pPr>
            <w:r>
              <w:rPr>
                <w:rFonts w:ascii="Calibri" w:hAnsi="Calibri" w:cs="Calibri"/>
                <w:sz w:val="18"/>
                <w:szCs w:val="18"/>
                <w:lang w:val="hr-HR"/>
              </w:rPr>
              <w:t>sveučilišni kampusi</w:t>
            </w:r>
          </w:p>
          <w:p w14:paraId="2061097A" w14:textId="77777777" w:rsidR="00132E7D" w:rsidRPr="009B0C69" w:rsidRDefault="00132E7D" w:rsidP="00F030D3">
            <w:pPr>
              <w:pStyle w:val="ListParagraph"/>
              <w:numPr>
                <w:ilvl w:val="0"/>
                <w:numId w:val="30"/>
              </w:numPr>
              <w:spacing w:before="40" w:after="40" w:line="300" w:lineRule="auto"/>
              <w:jc w:val="left"/>
              <w:rPr>
                <w:rFonts w:ascii="Calibri" w:hAnsi="Calibri" w:cs="Calibri"/>
                <w:sz w:val="18"/>
                <w:szCs w:val="18"/>
                <w:lang w:val="hr-HR"/>
              </w:rPr>
            </w:pPr>
            <w:r>
              <w:rPr>
                <w:rFonts w:ascii="Calibri" w:hAnsi="Calibri" w:cs="Calibri"/>
                <w:sz w:val="18"/>
                <w:szCs w:val="18"/>
                <w:lang w:val="hr-HR"/>
              </w:rPr>
              <w:t>obnova područja</w:t>
            </w:r>
          </w:p>
          <w:p w14:paraId="45B55C12" w14:textId="77777777" w:rsidR="00132E7D" w:rsidRPr="009B0C69" w:rsidRDefault="00132E7D" w:rsidP="00F030D3">
            <w:pPr>
              <w:pStyle w:val="ListParagraph"/>
              <w:numPr>
                <w:ilvl w:val="0"/>
                <w:numId w:val="30"/>
              </w:numPr>
              <w:spacing w:before="40" w:after="40" w:line="300" w:lineRule="auto"/>
              <w:jc w:val="left"/>
              <w:rPr>
                <w:rFonts w:ascii="Calibri" w:hAnsi="Calibri" w:cs="Calibri"/>
                <w:sz w:val="18"/>
                <w:szCs w:val="18"/>
                <w:lang w:val="hr-HR"/>
              </w:rPr>
            </w:pPr>
            <w:r>
              <w:rPr>
                <w:rFonts w:ascii="Calibri" w:hAnsi="Calibri" w:cs="Calibri"/>
                <w:sz w:val="18"/>
                <w:szCs w:val="18"/>
                <w:lang w:val="hr-HR"/>
              </w:rPr>
              <w:t>turističke atrakcije</w:t>
            </w:r>
            <w:r w:rsidRPr="009B0C69">
              <w:rPr>
                <w:rFonts w:ascii="Calibri" w:hAnsi="Calibri" w:cs="Calibri"/>
                <w:sz w:val="18"/>
                <w:szCs w:val="18"/>
                <w:lang w:val="hr-HR"/>
              </w:rPr>
              <w:t>/</w:t>
            </w:r>
            <w:r>
              <w:rPr>
                <w:rFonts w:ascii="Calibri" w:hAnsi="Calibri" w:cs="Calibri"/>
                <w:sz w:val="18"/>
                <w:szCs w:val="18"/>
                <w:lang w:val="hr-HR"/>
              </w:rPr>
              <w:t>sadržaji</w:t>
            </w:r>
          </w:p>
          <w:p w14:paraId="5999F4B5" w14:textId="77777777" w:rsidR="00132E7D" w:rsidRPr="009B0C69" w:rsidRDefault="00132E7D" w:rsidP="00F030D3">
            <w:pPr>
              <w:pStyle w:val="ListParagraph"/>
              <w:numPr>
                <w:ilvl w:val="0"/>
                <w:numId w:val="30"/>
              </w:numPr>
              <w:spacing w:before="40" w:after="40" w:line="300" w:lineRule="auto"/>
              <w:jc w:val="left"/>
              <w:rPr>
                <w:rFonts w:ascii="Calibri" w:hAnsi="Calibri" w:cs="Calibri"/>
                <w:sz w:val="18"/>
                <w:szCs w:val="18"/>
                <w:lang w:val="hr-HR"/>
              </w:rPr>
            </w:pPr>
            <w:r>
              <w:rPr>
                <w:rFonts w:ascii="Calibri" w:hAnsi="Calibri" w:cs="Calibri"/>
                <w:sz w:val="18"/>
                <w:szCs w:val="18"/>
                <w:lang w:val="hr-HR"/>
              </w:rPr>
              <w:t xml:space="preserve">postrojenja za recikliranje otpada </w:t>
            </w:r>
          </w:p>
          <w:p w14:paraId="024D9940" w14:textId="77777777" w:rsidR="00132E7D" w:rsidRPr="009B0C69" w:rsidRDefault="00132E7D" w:rsidP="00F030D3">
            <w:pPr>
              <w:pStyle w:val="ListParagraph"/>
              <w:numPr>
                <w:ilvl w:val="0"/>
                <w:numId w:val="30"/>
              </w:numPr>
              <w:spacing w:before="40" w:after="40" w:line="300" w:lineRule="auto"/>
              <w:jc w:val="left"/>
              <w:rPr>
                <w:rFonts w:ascii="Calibri" w:hAnsi="Calibri" w:cs="Calibri"/>
                <w:i/>
                <w:iCs/>
                <w:sz w:val="18"/>
                <w:szCs w:val="18"/>
                <w:lang w:val="hr-HR"/>
              </w:rPr>
            </w:pPr>
            <w:r>
              <w:rPr>
                <w:rFonts w:ascii="Calibri" w:hAnsi="Calibri" w:cs="Calibri"/>
                <w:i/>
                <w:iCs/>
                <w:sz w:val="18"/>
                <w:szCs w:val="18"/>
                <w:lang w:val="hr-HR"/>
              </w:rPr>
              <w:t>parkirališne garaže</w:t>
            </w:r>
          </w:p>
        </w:tc>
      </w:tr>
    </w:tbl>
    <w:p w14:paraId="02928391" w14:textId="77777777" w:rsidR="00132E7D" w:rsidRPr="009B0C69" w:rsidRDefault="00132E7D" w:rsidP="00F030D3">
      <w:pPr>
        <w:spacing w:before="40" w:after="40" w:line="300" w:lineRule="auto"/>
        <w:rPr>
          <w:rFonts w:ascii="Calibri" w:hAnsi="Calibri" w:cs="Calibri"/>
          <w:lang w:val="hr-HR"/>
        </w:rPr>
      </w:pPr>
    </w:p>
    <w:p w14:paraId="49CDFAD0" w14:textId="77777777" w:rsidR="00132E7D" w:rsidRPr="003B49F3" w:rsidRDefault="00132E7D" w:rsidP="00F030D3">
      <w:pPr>
        <w:spacing w:before="40" w:after="40" w:line="300" w:lineRule="auto"/>
        <w:rPr>
          <w:rFonts w:ascii="Calibri" w:hAnsi="Calibri" w:cs="Calibri"/>
          <w:lang w:val="hr-HR"/>
        </w:rPr>
      </w:pPr>
      <w:r>
        <w:rPr>
          <w:rFonts w:ascii="Calibri" w:hAnsi="Calibri" w:cs="Calibri"/>
          <w:lang w:val="hr-HR"/>
        </w:rPr>
        <w:t xml:space="preserve">Međutim, valja naglasiti da su pojedine projektne ideje (primjerice, turizam koji se ne temelji na kulturno-povijesnoj baštini, parkirališne garaže i slično), s obzirom na investicijske prioritete koje je EU definirala za razdoblje 2014. – 2020., na samoj </w:t>
      </w:r>
      <w:r w:rsidRPr="007C15C0">
        <w:rPr>
          <w:rFonts w:ascii="Calibri" w:hAnsi="Calibri" w:cs="Calibri"/>
          <w:lang w:val="hr-HR"/>
        </w:rPr>
        <w:t xml:space="preserve">granici prihvatljivosti. </w:t>
      </w:r>
      <w:r w:rsidRPr="003B49F3">
        <w:rPr>
          <w:rFonts w:ascii="Calibri" w:hAnsi="Calibri" w:cs="Calibri"/>
          <w:lang w:val="hr-HR"/>
        </w:rPr>
        <w:t xml:space="preserve">Projektne ideje za koje smatramo da spadaju u ovu kategoriju u tablici smo označili </w:t>
      </w:r>
      <w:r>
        <w:rPr>
          <w:rFonts w:ascii="Calibri" w:hAnsi="Calibri" w:cs="Calibri"/>
          <w:lang w:val="hr-HR"/>
        </w:rPr>
        <w:t xml:space="preserve">u </w:t>
      </w:r>
      <w:r w:rsidRPr="003B49F3">
        <w:rPr>
          <w:rFonts w:ascii="Calibri" w:hAnsi="Calibri" w:cs="Calibri"/>
          <w:lang w:val="hr-HR"/>
        </w:rPr>
        <w:t>kurziv</w:t>
      </w:r>
      <w:r>
        <w:rPr>
          <w:rFonts w:ascii="Calibri" w:hAnsi="Calibri" w:cs="Calibri"/>
          <w:lang w:val="hr-HR"/>
        </w:rPr>
        <w:t>u</w:t>
      </w:r>
      <w:r w:rsidRPr="003B49F3">
        <w:rPr>
          <w:rFonts w:ascii="Calibri" w:hAnsi="Calibri" w:cs="Calibri"/>
          <w:lang w:val="hr-HR"/>
        </w:rPr>
        <w:t>.</w:t>
      </w:r>
    </w:p>
    <w:p w14:paraId="7E1BCCB0" w14:textId="77777777" w:rsidR="00132E7D" w:rsidRPr="009B0C69" w:rsidRDefault="00132E7D" w:rsidP="00F030D3">
      <w:pPr>
        <w:spacing w:before="40" w:after="40" w:line="300" w:lineRule="auto"/>
        <w:rPr>
          <w:rFonts w:ascii="Calibri" w:hAnsi="Calibri" w:cs="Calibri"/>
          <w:lang w:val="hr-HR"/>
        </w:rPr>
      </w:pPr>
    </w:p>
    <w:p w14:paraId="0B886597" w14:textId="77777777" w:rsidR="00132E7D" w:rsidRPr="00CF2B98" w:rsidRDefault="00132E7D" w:rsidP="00F030D3">
      <w:pPr>
        <w:pStyle w:val="14-Heading2"/>
        <w:spacing w:before="40" w:after="40" w:line="300" w:lineRule="auto"/>
        <w:rPr>
          <w:sz w:val="22"/>
          <w:szCs w:val="22"/>
          <w:lang w:val="hr-HR"/>
        </w:rPr>
      </w:pPr>
      <w:bookmarkStart w:id="9" w:name="_Toc394052276"/>
      <w:r w:rsidRPr="00CF2B98">
        <w:rPr>
          <w:sz w:val="22"/>
          <w:szCs w:val="22"/>
          <w:lang w:val="hr-HR"/>
        </w:rPr>
        <w:t>4.3</w:t>
      </w:r>
      <w:r w:rsidRPr="00CF2B98">
        <w:rPr>
          <w:sz w:val="22"/>
          <w:szCs w:val="22"/>
          <w:lang w:val="hr-HR"/>
        </w:rPr>
        <w:tab/>
        <w:t>Javno-privatna partnerstva</w:t>
      </w:r>
      <w:bookmarkEnd w:id="9"/>
    </w:p>
    <w:p w14:paraId="0AAE09D5" w14:textId="77777777" w:rsidR="00132E7D" w:rsidRDefault="00132E7D" w:rsidP="00F030D3">
      <w:pPr>
        <w:spacing w:before="40" w:after="40" w:line="300" w:lineRule="auto"/>
        <w:rPr>
          <w:rFonts w:ascii="Calibri" w:hAnsi="Calibri" w:cs="Calibri"/>
          <w:lang w:val="hr-HR"/>
        </w:rPr>
      </w:pPr>
      <w:r>
        <w:rPr>
          <w:rFonts w:ascii="Calibri" w:hAnsi="Calibri" w:cs="Calibri"/>
          <w:lang w:val="hr-HR"/>
        </w:rPr>
        <w:t xml:space="preserve">Jedna od ključnih karakteristika financijskog instrumenta JESSICA odnosi se na njegovu primjenu u kontekstu partnerstava između javnog i privatnog sektora, odnosno, pri osnivanju fondova za urbani razvoj i provedbi financiranih projekata. Stoga je kroz konzultacije istraženo iskustvo partnerstva između javnog i privatnog sektora s obzirom na tržište nekretnina i druge javne investicije. </w:t>
      </w:r>
    </w:p>
    <w:p w14:paraId="51BBD7CA" w14:textId="5E60BB9B" w:rsidR="00132E7D" w:rsidRPr="006561B6" w:rsidRDefault="00132E7D" w:rsidP="00F030D3">
      <w:pPr>
        <w:spacing w:before="40" w:after="40" w:line="300" w:lineRule="auto"/>
        <w:rPr>
          <w:rFonts w:ascii="Calibri" w:hAnsi="Calibri" w:cs="Calibri"/>
          <w:lang w:val="hr-HR"/>
        </w:rPr>
      </w:pPr>
      <w:r>
        <w:rPr>
          <w:rFonts w:ascii="Calibri" w:hAnsi="Calibri" w:cs="Calibri"/>
          <w:lang w:val="hr-HR"/>
        </w:rPr>
        <w:t xml:space="preserve">Ispitanici su izvijestili o karakterističnom odnosu razvojnih interesa javnog i privatnog sektora u Hrvatskoj. Naveli su da se angažman javnog sektora traži u cilju osiguravanja tržišnih ciljeva, primjerice, vezano za odobrenje planova. Istaknuli su da se sustav planiranja prilagođava tržišnim interesima. Naveli su tako da je obrazac razvoja uredskih prostora u prošlom desetljeću u značajnoj mjeri odstupao od prioriteta određenih po zonama u strateškom planu za Zagreb iz </w:t>
      </w:r>
      <w:r w:rsidRPr="002A63D4">
        <w:rPr>
          <w:rFonts w:ascii="Calibri" w:hAnsi="Calibri" w:cs="Calibri"/>
          <w:lang w:val="hr-HR"/>
        </w:rPr>
        <w:t>2000</w:t>
      </w:r>
      <w:r>
        <w:rPr>
          <w:rFonts w:ascii="Calibri" w:hAnsi="Calibri" w:cs="Calibri"/>
          <w:lang w:val="hr-HR"/>
        </w:rPr>
        <w:t xml:space="preserve">. godine. Slično tome, smatraju da je sustav kontrole izgradnje manjkav te navode da mnogi slučajevi </w:t>
      </w:r>
      <w:r w:rsidRPr="006561B6">
        <w:rPr>
          <w:rFonts w:ascii="Calibri" w:hAnsi="Calibri" w:cs="Calibri"/>
          <w:lang w:val="hr-HR"/>
        </w:rPr>
        <w:t>nedopuštenih građevinskih aktivnosti nisu kažnjeni.</w:t>
      </w:r>
    </w:p>
    <w:p w14:paraId="2E524F0E" w14:textId="77777777" w:rsidR="00132E7D" w:rsidRPr="000F72B1" w:rsidRDefault="00132E7D" w:rsidP="00F030D3">
      <w:pPr>
        <w:spacing w:before="40" w:after="40" w:line="300" w:lineRule="auto"/>
        <w:rPr>
          <w:rFonts w:ascii="Calibri" w:hAnsi="Calibri" w:cs="Calibri"/>
          <w:lang w:val="hr-HR"/>
        </w:rPr>
      </w:pPr>
      <w:r w:rsidRPr="000F72B1">
        <w:rPr>
          <w:rFonts w:ascii="Calibri" w:hAnsi="Calibri" w:cs="Calibri"/>
          <w:lang w:val="hr-HR"/>
        </w:rPr>
        <w:lastRenderedPageBreak/>
        <w:t>U</w:t>
      </w:r>
      <w:r>
        <w:rPr>
          <w:rFonts w:ascii="Calibri" w:hAnsi="Calibri" w:cs="Calibri"/>
          <w:lang w:val="hr-HR"/>
        </w:rPr>
        <w:t>očen</w:t>
      </w:r>
      <w:r w:rsidRPr="000F72B1">
        <w:rPr>
          <w:rFonts w:ascii="Calibri" w:hAnsi="Calibri" w:cs="Calibri"/>
          <w:lang w:val="hr-HR"/>
        </w:rPr>
        <w:t xml:space="preserve"> je </w:t>
      </w:r>
      <w:r>
        <w:rPr>
          <w:rFonts w:ascii="Calibri" w:hAnsi="Calibri" w:cs="Calibri"/>
          <w:lang w:val="hr-HR"/>
        </w:rPr>
        <w:t xml:space="preserve">mali broj slučajeva uspješne suradnje između javnog i privatnog sektora u ostvarivanju zajedničkih ciljeva kao što je, primjerice, lokalna obnova. U Hrvatskoj se koncept planiranja koristi, na temelju kojeg se odobrenja daju u skladu s razinom ostvarene dobrobiti za zajednicu, trenutačno ne primjenjuje u značajnijoj mjeri. </w:t>
      </w:r>
    </w:p>
    <w:p w14:paraId="26AF8A6E" w14:textId="77777777" w:rsidR="00132E7D" w:rsidRPr="0099687E" w:rsidRDefault="00132E7D" w:rsidP="00F030D3">
      <w:pPr>
        <w:spacing w:before="40" w:after="40" w:line="300" w:lineRule="auto"/>
        <w:rPr>
          <w:rFonts w:ascii="Calibri" w:hAnsi="Calibri" w:cs="Calibri"/>
          <w:lang w:val="hr-HR"/>
        </w:rPr>
      </w:pPr>
      <w:r w:rsidRPr="0099687E">
        <w:rPr>
          <w:rFonts w:ascii="Calibri" w:hAnsi="Calibri" w:cs="Calibri"/>
          <w:lang w:val="hr-HR"/>
        </w:rPr>
        <w:t xml:space="preserve">Najvažniji primjeri </w:t>
      </w:r>
      <w:r>
        <w:rPr>
          <w:rFonts w:ascii="Calibri" w:hAnsi="Calibri" w:cs="Calibri"/>
          <w:lang w:val="hr-HR"/>
        </w:rPr>
        <w:t>javno-privatnog partnerstva u pogledu javne infrastrukture u Hrvatskoj odnose se na projekte izgradnje prometnica</w:t>
      </w:r>
      <w:r w:rsidRPr="00946EF7">
        <w:rPr>
          <w:rFonts w:ascii="Calibri" w:hAnsi="Calibri" w:cs="Calibri"/>
          <w:lang w:val="hr-HR"/>
        </w:rPr>
        <w:t xml:space="preserve"> </w:t>
      </w:r>
      <w:r>
        <w:rPr>
          <w:rFonts w:ascii="Calibri" w:hAnsi="Calibri" w:cs="Calibri"/>
          <w:lang w:val="hr-HR"/>
        </w:rPr>
        <w:t xml:space="preserve">na državnoj razini. Nešto je manji broj iskustava vezanih uz lokalnu infrastrukturu, iako su navedeni primjeri vodoopskrbnog sustava u Zagrebu, škola i sportskih dvorana u Varaždinu, veleučilišta u Velikoj Gorici, sportskih dvorana u Slavonskom Brodu i javnog prijevoza u Rijeci. Određeni broj projekata ove vrste nije polučio uspješne rezultate – nekima je nedostajala gospodarska održivost, a nekima održivi način upravljanja. </w:t>
      </w:r>
    </w:p>
    <w:p w14:paraId="375E563C" w14:textId="77777777" w:rsidR="00132E7D" w:rsidRPr="00DB3B14" w:rsidRDefault="00132E7D" w:rsidP="00F030D3">
      <w:pPr>
        <w:spacing w:before="40" w:after="40" w:line="300" w:lineRule="auto"/>
        <w:rPr>
          <w:rFonts w:ascii="Calibri" w:hAnsi="Calibri" w:cs="Calibri"/>
          <w:lang w:val="hr-HR"/>
        </w:rPr>
      </w:pPr>
      <w:r w:rsidRPr="002B127B">
        <w:rPr>
          <w:rFonts w:ascii="Calibri" w:hAnsi="Calibri" w:cs="Calibri"/>
          <w:lang w:val="hr-HR"/>
        </w:rPr>
        <w:t>Uočeno je da lokalne samouprave</w:t>
      </w:r>
      <w:r>
        <w:rPr>
          <w:rFonts w:ascii="Calibri" w:hAnsi="Calibri" w:cs="Calibri"/>
          <w:lang w:val="hr-HR"/>
        </w:rPr>
        <w:t xml:space="preserve"> izvan Zagreba raspolažu ograničenim sposobnostima za pregovaranje i upravljanje složenim projektima. Banke i stručnjaci za nekretnine naveli su primjere koji, prema njihovom mišljenju, pokazuju da javni sektor još </w:t>
      </w:r>
      <w:r w:rsidRPr="00EB603C">
        <w:rPr>
          <w:rFonts w:ascii="Calibri" w:hAnsi="Calibri" w:cs="Calibri"/>
          <w:lang w:val="hr-HR"/>
        </w:rPr>
        <w:t xml:space="preserve">uvijek mora naučiti na </w:t>
      </w:r>
      <w:r>
        <w:rPr>
          <w:rFonts w:ascii="Calibri" w:hAnsi="Calibri" w:cs="Calibri"/>
          <w:lang w:val="hr-HR"/>
        </w:rPr>
        <w:t xml:space="preserve">koji način može surađivati s privatnim sektorom, kao i primjere koji mogu utjecati na potencijalno uspješno korištenje JESSICA-e i ostalih javno-privatnih zajedničkih pothvata, s posebnim naglaskom na: </w:t>
      </w:r>
    </w:p>
    <w:p w14:paraId="391EFF15" w14:textId="400A0EC3" w:rsidR="00132E7D" w:rsidRPr="00600FD3" w:rsidRDefault="00132E7D" w:rsidP="00F030D3">
      <w:pPr>
        <w:pStyle w:val="ListParagraph"/>
        <w:numPr>
          <w:ilvl w:val="0"/>
          <w:numId w:val="28"/>
        </w:numPr>
        <w:spacing w:before="40" w:after="40" w:line="300" w:lineRule="auto"/>
        <w:ind w:left="357" w:hanging="357"/>
        <w:rPr>
          <w:rFonts w:ascii="Calibri" w:hAnsi="Calibri" w:cs="Calibri"/>
          <w:lang w:val="hr-HR"/>
        </w:rPr>
      </w:pPr>
      <w:r w:rsidRPr="00600FD3">
        <w:rPr>
          <w:rFonts w:ascii="Calibri" w:hAnsi="Calibri" w:cs="Calibri"/>
          <w:lang w:val="hr-HR"/>
        </w:rPr>
        <w:t>rigo</w:t>
      </w:r>
      <w:r>
        <w:rPr>
          <w:rFonts w:ascii="Calibri" w:hAnsi="Calibri" w:cs="Calibri"/>
          <w:lang w:val="hr-HR"/>
        </w:rPr>
        <w:t>roznu</w:t>
      </w:r>
      <w:r w:rsidRPr="00600FD3">
        <w:rPr>
          <w:rFonts w:ascii="Calibri" w:hAnsi="Calibri" w:cs="Calibri"/>
          <w:lang w:val="hr-HR"/>
        </w:rPr>
        <w:t xml:space="preserve"> </w:t>
      </w:r>
      <w:r>
        <w:rPr>
          <w:rFonts w:ascii="Calibri" w:hAnsi="Calibri" w:cs="Calibri"/>
          <w:lang w:val="hr-HR"/>
        </w:rPr>
        <w:t>i</w:t>
      </w:r>
      <w:r w:rsidRPr="00600FD3">
        <w:rPr>
          <w:rFonts w:ascii="Calibri" w:hAnsi="Calibri" w:cs="Calibri"/>
          <w:lang w:val="hr-HR"/>
        </w:rPr>
        <w:t xml:space="preserve"> obje</w:t>
      </w:r>
      <w:r>
        <w:rPr>
          <w:rFonts w:ascii="Calibri" w:hAnsi="Calibri" w:cs="Calibri"/>
          <w:lang w:val="hr-HR"/>
        </w:rPr>
        <w:t>ktivnu</w:t>
      </w:r>
      <w:r w:rsidRPr="00600FD3">
        <w:rPr>
          <w:rFonts w:ascii="Calibri" w:hAnsi="Calibri" w:cs="Calibri"/>
          <w:lang w:val="hr-HR"/>
        </w:rPr>
        <w:t xml:space="preserve"> </w:t>
      </w:r>
      <w:r>
        <w:rPr>
          <w:rFonts w:ascii="Calibri" w:hAnsi="Calibri" w:cs="Calibri"/>
          <w:lang w:val="hr-HR"/>
        </w:rPr>
        <w:t>analizu troškova i koristi pri razvijanju projekata za koje žele da ih financira privatni sektor;</w:t>
      </w:r>
    </w:p>
    <w:p w14:paraId="752CA6D0" w14:textId="5CE5266E" w:rsidR="00132E7D" w:rsidRPr="00600FD3" w:rsidRDefault="00132E7D" w:rsidP="00F030D3">
      <w:pPr>
        <w:pStyle w:val="ListParagraph"/>
        <w:numPr>
          <w:ilvl w:val="0"/>
          <w:numId w:val="28"/>
        </w:numPr>
        <w:spacing w:before="40" w:after="40" w:line="300" w:lineRule="auto"/>
        <w:ind w:left="357" w:hanging="357"/>
        <w:rPr>
          <w:rFonts w:ascii="Calibri" w:hAnsi="Calibri" w:cs="Calibri"/>
          <w:lang w:val="hr-HR"/>
        </w:rPr>
      </w:pPr>
      <w:r w:rsidRPr="00600FD3">
        <w:rPr>
          <w:rFonts w:ascii="Calibri" w:hAnsi="Calibri" w:cs="Calibri"/>
          <w:lang w:val="hr-HR"/>
        </w:rPr>
        <w:t>reali</w:t>
      </w:r>
      <w:r>
        <w:rPr>
          <w:rFonts w:ascii="Calibri" w:hAnsi="Calibri" w:cs="Calibri"/>
          <w:lang w:val="hr-HR"/>
        </w:rPr>
        <w:t>stične pretpostavke o budućim poslovnim prihodima i rizicima;</w:t>
      </w:r>
    </w:p>
    <w:p w14:paraId="4D085FC4" w14:textId="5E0030C3" w:rsidR="00132E7D" w:rsidRPr="00600FD3" w:rsidRDefault="00132E7D" w:rsidP="00F030D3">
      <w:pPr>
        <w:pStyle w:val="ListParagraph"/>
        <w:numPr>
          <w:ilvl w:val="0"/>
          <w:numId w:val="28"/>
        </w:numPr>
        <w:spacing w:before="40" w:after="40" w:line="300" w:lineRule="auto"/>
        <w:ind w:left="357" w:hanging="357"/>
        <w:rPr>
          <w:rFonts w:ascii="Calibri" w:hAnsi="Calibri" w:cs="Calibri"/>
          <w:lang w:val="hr-HR"/>
        </w:rPr>
      </w:pPr>
      <w:r>
        <w:rPr>
          <w:rFonts w:ascii="Calibri" w:hAnsi="Calibri" w:cs="Calibri"/>
          <w:lang w:val="hr-HR"/>
        </w:rPr>
        <w:t>poznavanje situacije na tržištu pri definiranju razdoblja financiranja projekata;</w:t>
      </w:r>
    </w:p>
    <w:p w14:paraId="554EB2C0" w14:textId="485B8AC5" w:rsidR="00132E7D" w:rsidRPr="00600FD3" w:rsidRDefault="00132E7D" w:rsidP="00F030D3">
      <w:pPr>
        <w:pStyle w:val="ListParagraph"/>
        <w:numPr>
          <w:ilvl w:val="0"/>
          <w:numId w:val="28"/>
        </w:numPr>
        <w:spacing w:before="40" w:after="40" w:line="300" w:lineRule="auto"/>
        <w:ind w:left="357" w:hanging="357"/>
        <w:rPr>
          <w:rFonts w:ascii="Calibri" w:hAnsi="Calibri" w:cs="Calibri"/>
          <w:lang w:val="hr-HR"/>
        </w:rPr>
      </w:pPr>
      <w:r>
        <w:rPr>
          <w:rFonts w:ascii="Calibri" w:hAnsi="Calibri" w:cs="Calibri"/>
          <w:lang w:val="hr-HR"/>
        </w:rPr>
        <w:t>uvažavanje mogućnosti zaštite od projektnih rizika povezanih s ukupnim troškom životnog vijeka objekta.</w:t>
      </w:r>
    </w:p>
    <w:p w14:paraId="472C53B4" w14:textId="77777777" w:rsidR="00132E7D" w:rsidRPr="00600FD3" w:rsidRDefault="00132E7D" w:rsidP="00F030D3">
      <w:pPr>
        <w:spacing w:before="40" w:after="40" w:line="300" w:lineRule="auto"/>
        <w:rPr>
          <w:rFonts w:ascii="Calibri" w:hAnsi="Calibri" w:cs="Calibri"/>
          <w:lang w:val="hr-HR"/>
        </w:rPr>
      </w:pPr>
    </w:p>
    <w:p w14:paraId="0A940612" w14:textId="77777777" w:rsidR="00132E7D" w:rsidRPr="00CF2B98" w:rsidRDefault="00132E7D" w:rsidP="00F030D3">
      <w:pPr>
        <w:pStyle w:val="14-Heading2"/>
        <w:spacing w:before="40" w:after="40" w:line="300" w:lineRule="auto"/>
        <w:rPr>
          <w:sz w:val="22"/>
          <w:szCs w:val="22"/>
          <w:lang w:val="hr-HR"/>
        </w:rPr>
      </w:pPr>
      <w:bookmarkStart w:id="10" w:name="_Toc394052277"/>
      <w:r w:rsidRPr="00CF2B98">
        <w:rPr>
          <w:sz w:val="22"/>
          <w:szCs w:val="22"/>
          <w:lang w:val="hr-HR"/>
        </w:rPr>
        <w:t>4.4</w:t>
      </w:r>
      <w:r w:rsidRPr="00CF2B98">
        <w:rPr>
          <w:sz w:val="22"/>
          <w:szCs w:val="22"/>
          <w:lang w:val="hr-HR"/>
        </w:rPr>
        <w:tab/>
        <w:t>Banke i institucionalni investitori</w:t>
      </w:r>
      <w:bookmarkEnd w:id="10"/>
      <w:r w:rsidRPr="00CF2B98">
        <w:rPr>
          <w:sz w:val="22"/>
          <w:szCs w:val="22"/>
          <w:lang w:val="hr-HR"/>
        </w:rPr>
        <w:t xml:space="preserve"> </w:t>
      </w:r>
    </w:p>
    <w:p w14:paraId="6BB9A6AB" w14:textId="77777777" w:rsidR="00132E7D" w:rsidRDefault="00132E7D" w:rsidP="00F030D3">
      <w:pPr>
        <w:spacing w:before="40" w:after="40" w:line="300" w:lineRule="auto"/>
        <w:rPr>
          <w:rFonts w:ascii="Calibri" w:hAnsi="Calibri" w:cs="Calibri"/>
          <w:lang w:val="hr-HR"/>
        </w:rPr>
      </w:pPr>
      <w:r>
        <w:rPr>
          <w:rFonts w:ascii="Calibri" w:hAnsi="Calibri" w:cs="Calibri"/>
          <w:lang w:val="hr-HR"/>
        </w:rPr>
        <w:t>Kod uobičajenog modela javno-privatnog partnerstva, privatni sektor osigurava paket financijske potpore u sklopu natječajne ponude. Izvođači i uključene financijske institucije često su usko specijalizirani i raspolažu značajnim iskustvom u pogledu vrste projekata u kojima sudjeluju.</w:t>
      </w:r>
    </w:p>
    <w:p w14:paraId="4C3BEEEC" w14:textId="77777777" w:rsidR="00132E7D" w:rsidRDefault="00132E7D" w:rsidP="00F030D3">
      <w:pPr>
        <w:spacing w:before="40" w:after="40" w:line="300" w:lineRule="auto"/>
        <w:rPr>
          <w:rFonts w:ascii="Calibri" w:hAnsi="Calibri" w:cs="Calibri"/>
          <w:lang w:val="hr-HR"/>
        </w:rPr>
      </w:pPr>
      <w:r>
        <w:rPr>
          <w:rFonts w:ascii="Calibri" w:hAnsi="Calibri" w:cs="Calibri"/>
          <w:lang w:val="hr-HR"/>
        </w:rPr>
        <w:t>Financijski instrument</w:t>
      </w:r>
      <w:r w:rsidRPr="00600FD3">
        <w:rPr>
          <w:rFonts w:ascii="Calibri" w:hAnsi="Calibri" w:cs="Calibri"/>
          <w:lang w:val="hr-HR"/>
        </w:rPr>
        <w:t xml:space="preserve"> JESSICA </w:t>
      </w:r>
      <w:r>
        <w:rPr>
          <w:rFonts w:ascii="Calibri" w:hAnsi="Calibri" w:cs="Calibri"/>
          <w:lang w:val="hr-HR"/>
        </w:rPr>
        <w:t xml:space="preserve">razlikuje se </w:t>
      </w:r>
      <w:r w:rsidRPr="00B0579E">
        <w:rPr>
          <w:rFonts w:ascii="Calibri" w:hAnsi="Calibri" w:cs="Calibri"/>
          <w:lang w:val="hr-HR"/>
        </w:rPr>
        <w:t xml:space="preserve">od uobičajenih modela javno-privatnog partnerstva s obzirom da, na razini financiranja, uključuje općenitiji interes za ulaganja (većinom banaka), dok na razini projekta uključuje spekulativnije interese </w:t>
      </w:r>
      <w:r w:rsidRPr="00B0579E">
        <w:rPr>
          <w:rFonts w:ascii="Calibri" w:hAnsi="Calibri" w:cs="Calibri"/>
          <w:i/>
          <w:iCs/>
          <w:lang w:val="hr-HR"/>
        </w:rPr>
        <w:t>developera</w:t>
      </w:r>
      <w:r w:rsidRPr="00B0579E">
        <w:rPr>
          <w:rFonts w:ascii="Calibri" w:hAnsi="Calibri" w:cs="Calibri"/>
          <w:lang w:val="hr-HR"/>
        </w:rPr>
        <w:t>. Ovakav</w:t>
      </w:r>
      <w:r>
        <w:rPr>
          <w:rFonts w:ascii="Calibri" w:hAnsi="Calibri" w:cs="Calibri"/>
          <w:lang w:val="hr-HR"/>
        </w:rPr>
        <w:t xml:space="preserve"> bi angažman investitora mogao igrati ključnu ulogu u uspješnom korištenju JESSICA-e. </w:t>
      </w:r>
    </w:p>
    <w:p w14:paraId="3249B6DE" w14:textId="77777777" w:rsidR="00132E7D" w:rsidRPr="00600FD3" w:rsidRDefault="00132E7D" w:rsidP="00F030D3">
      <w:pPr>
        <w:spacing w:before="40" w:after="40" w:line="300" w:lineRule="auto"/>
        <w:rPr>
          <w:rFonts w:ascii="Calibri" w:hAnsi="Calibri" w:cs="Calibri"/>
          <w:lang w:val="hr-HR"/>
        </w:rPr>
      </w:pPr>
      <w:r>
        <w:rPr>
          <w:rFonts w:ascii="Calibri" w:hAnsi="Calibri" w:cs="Calibri"/>
          <w:lang w:val="hr-HR"/>
        </w:rPr>
        <w:t>Ispitanici su naveli sljedeće glavne investitore u komercijalne nekretnine u Hrvatskoj</w:t>
      </w:r>
      <w:r w:rsidRPr="00600FD3">
        <w:rPr>
          <w:rFonts w:ascii="Calibri" w:hAnsi="Calibri" w:cs="Calibri"/>
          <w:lang w:val="hr-HR"/>
        </w:rPr>
        <w:t>:</w:t>
      </w:r>
    </w:p>
    <w:p w14:paraId="50F92209" w14:textId="77777777" w:rsidR="00132E7D" w:rsidRPr="00600FD3" w:rsidRDefault="00132E7D" w:rsidP="00F030D3">
      <w:pPr>
        <w:pStyle w:val="ListParagraph"/>
        <w:numPr>
          <w:ilvl w:val="0"/>
          <w:numId w:val="29"/>
        </w:numPr>
        <w:spacing w:before="40" w:after="40" w:line="300" w:lineRule="auto"/>
        <w:ind w:left="357" w:hanging="357"/>
        <w:rPr>
          <w:rFonts w:ascii="Calibri" w:hAnsi="Calibri" w:cs="Calibri"/>
          <w:lang w:val="hr-HR"/>
        </w:rPr>
      </w:pPr>
      <w:r>
        <w:rPr>
          <w:rFonts w:ascii="Calibri" w:hAnsi="Calibri" w:cs="Calibri"/>
          <w:lang w:val="hr-HR"/>
        </w:rPr>
        <w:t>a</w:t>
      </w:r>
      <w:r w:rsidRPr="00600FD3">
        <w:rPr>
          <w:rFonts w:ascii="Calibri" w:hAnsi="Calibri" w:cs="Calibri"/>
          <w:lang w:val="hr-HR"/>
        </w:rPr>
        <w:t>ustri</w:t>
      </w:r>
      <w:r>
        <w:rPr>
          <w:rFonts w:ascii="Calibri" w:hAnsi="Calibri" w:cs="Calibri"/>
          <w:lang w:val="hr-HR"/>
        </w:rPr>
        <w:t>jske</w:t>
      </w:r>
      <w:r w:rsidRPr="00600FD3">
        <w:rPr>
          <w:rFonts w:ascii="Calibri" w:hAnsi="Calibri" w:cs="Calibri"/>
          <w:lang w:val="hr-HR"/>
        </w:rPr>
        <w:t xml:space="preserve"> bank</w:t>
      </w:r>
      <w:r>
        <w:rPr>
          <w:rFonts w:ascii="Calibri" w:hAnsi="Calibri" w:cs="Calibri"/>
          <w:lang w:val="hr-HR"/>
        </w:rPr>
        <w:t>e;</w:t>
      </w:r>
    </w:p>
    <w:p w14:paraId="009BA6BD" w14:textId="77777777" w:rsidR="00132E7D" w:rsidRPr="00600FD3" w:rsidRDefault="00132E7D" w:rsidP="00F030D3">
      <w:pPr>
        <w:pStyle w:val="ListParagraph"/>
        <w:numPr>
          <w:ilvl w:val="0"/>
          <w:numId w:val="29"/>
        </w:numPr>
        <w:spacing w:before="40" w:after="40" w:line="300" w:lineRule="auto"/>
        <w:ind w:left="357" w:hanging="357"/>
        <w:rPr>
          <w:rFonts w:ascii="Calibri" w:hAnsi="Calibri" w:cs="Calibri"/>
          <w:lang w:val="hr-HR"/>
        </w:rPr>
      </w:pPr>
      <w:r>
        <w:rPr>
          <w:rFonts w:ascii="Calibri" w:hAnsi="Calibri" w:cs="Calibri"/>
          <w:lang w:val="hr-HR"/>
        </w:rPr>
        <w:t>a</w:t>
      </w:r>
      <w:r w:rsidRPr="00600FD3">
        <w:rPr>
          <w:rFonts w:ascii="Calibri" w:hAnsi="Calibri" w:cs="Calibri"/>
          <w:lang w:val="hr-HR"/>
        </w:rPr>
        <w:t>ustri</w:t>
      </w:r>
      <w:r>
        <w:rPr>
          <w:rFonts w:ascii="Calibri" w:hAnsi="Calibri" w:cs="Calibri"/>
          <w:lang w:val="hr-HR"/>
        </w:rPr>
        <w:t>jske</w:t>
      </w:r>
      <w:r w:rsidRPr="00600FD3">
        <w:rPr>
          <w:rFonts w:ascii="Calibri" w:hAnsi="Calibri" w:cs="Calibri"/>
          <w:lang w:val="hr-HR"/>
        </w:rPr>
        <w:t xml:space="preserve">, </w:t>
      </w:r>
      <w:r>
        <w:rPr>
          <w:rFonts w:ascii="Calibri" w:hAnsi="Calibri" w:cs="Calibri"/>
          <w:lang w:val="hr-HR"/>
        </w:rPr>
        <w:t>izraelske</w:t>
      </w:r>
      <w:r w:rsidRPr="00600FD3">
        <w:rPr>
          <w:rFonts w:ascii="Calibri" w:hAnsi="Calibri" w:cs="Calibri"/>
          <w:lang w:val="hr-HR"/>
        </w:rPr>
        <w:t xml:space="preserve"> </w:t>
      </w:r>
      <w:r>
        <w:rPr>
          <w:rFonts w:ascii="Calibri" w:hAnsi="Calibri" w:cs="Calibri"/>
          <w:lang w:val="hr-HR"/>
        </w:rPr>
        <w:t>i, u nešto</w:t>
      </w:r>
      <w:r w:rsidRPr="00600FD3">
        <w:rPr>
          <w:rFonts w:ascii="Calibri" w:hAnsi="Calibri" w:cs="Calibri"/>
          <w:lang w:val="hr-HR"/>
        </w:rPr>
        <w:t xml:space="preserve"> </w:t>
      </w:r>
      <w:r>
        <w:rPr>
          <w:rFonts w:ascii="Calibri" w:hAnsi="Calibri" w:cs="Calibri"/>
          <w:lang w:val="hr-HR"/>
        </w:rPr>
        <w:t xml:space="preserve">manjoj mjeri, njemačke </w:t>
      </w:r>
      <w:r w:rsidRPr="00F55A68">
        <w:rPr>
          <w:rFonts w:ascii="Calibri" w:hAnsi="Calibri" w:cs="Calibri"/>
          <w:i/>
          <w:iCs/>
          <w:lang w:val="hr-HR"/>
        </w:rPr>
        <w:t>developer</w:t>
      </w:r>
      <w:r>
        <w:rPr>
          <w:rFonts w:ascii="Calibri" w:hAnsi="Calibri" w:cs="Calibri"/>
          <w:i/>
          <w:iCs/>
          <w:lang w:val="hr-HR"/>
        </w:rPr>
        <w:t>e</w:t>
      </w:r>
      <w:r>
        <w:rPr>
          <w:rFonts w:ascii="Calibri" w:hAnsi="Calibri" w:cs="Calibri"/>
          <w:lang w:val="hr-HR"/>
        </w:rPr>
        <w:t>, u pojedinim slučajevima u obliku konzorcija osoba visoke neto vrijednosti;</w:t>
      </w:r>
    </w:p>
    <w:p w14:paraId="6E58509D" w14:textId="7AE790EA" w:rsidR="00132E7D" w:rsidRDefault="00132E7D" w:rsidP="00F030D3">
      <w:pPr>
        <w:pStyle w:val="ListParagraph"/>
        <w:numPr>
          <w:ilvl w:val="0"/>
          <w:numId w:val="29"/>
        </w:numPr>
        <w:spacing w:before="40" w:after="40" w:line="300" w:lineRule="auto"/>
        <w:ind w:left="357" w:hanging="357"/>
        <w:rPr>
          <w:rFonts w:ascii="Calibri" w:hAnsi="Calibri" w:cs="Calibri"/>
          <w:lang w:val="hr-HR"/>
        </w:rPr>
      </w:pPr>
      <w:r w:rsidRPr="0081175F">
        <w:rPr>
          <w:rFonts w:ascii="Calibri" w:hAnsi="Calibri" w:cs="Calibri"/>
          <w:lang w:val="hr-HR"/>
        </w:rPr>
        <w:t>osiguravajuća društva koja imaju obvezu držanja dijela portfelja u nekretninama</w:t>
      </w:r>
      <w:r>
        <w:rPr>
          <w:rFonts w:ascii="Calibri" w:hAnsi="Calibri" w:cs="Calibri"/>
          <w:lang w:val="hr-HR"/>
        </w:rPr>
        <w:t>.</w:t>
      </w:r>
    </w:p>
    <w:p w14:paraId="4D197A77" w14:textId="77777777" w:rsidR="00132E7D" w:rsidRDefault="00132E7D" w:rsidP="00F030D3">
      <w:pPr>
        <w:spacing w:before="40" w:after="40" w:line="300" w:lineRule="auto"/>
        <w:rPr>
          <w:rFonts w:ascii="Calibri" w:hAnsi="Calibri" w:cs="Calibri"/>
          <w:lang w:val="hr-HR"/>
        </w:rPr>
      </w:pPr>
      <w:r>
        <w:rPr>
          <w:rFonts w:ascii="Calibri" w:hAnsi="Calibri" w:cs="Calibri"/>
          <w:lang w:val="hr-HR"/>
        </w:rPr>
        <w:t xml:space="preserve">U izvješćima je navedeno da u ovom trenutku u Hrvatskoj ne postoji značajno tržište za institucionalne investitore kojemu bi </w:t>
      </w:r>
      <w:r w:rsidRPr="000253D2">
        <w:rPr>
          <w:rFonts w:ascii="Calibri" w:hAnsi="Calibri" w:cs="Calibri"/>
          <w:i/>
          <w:iCs/>
          <w:lang w:val="hr-HR"/>
        </w:rPr>
        <w:t>developeri</w:t>
      </w:r>
      <w:r>
        <w:rPr>
          <w:rFonts w:ascii="Calibri" w:hAnsi="Calibri" w:cs="Calibri"/>
          <w:lang w:val="hr-HR"/>
        </w:rPr>
        <w:t xml:space="preserve"> mogli ponuditi završene projekte. Hrvatski mirovinski fond je, prema mišljenju ispitanika, pasivan, a upitna je i njegova pravna sposobnost za ulaganje u nekretnine. </w:t>
      </w:r>
    </w:p>
    <w:p w14:paraId="657C0E1B" w14:textId="77777777" w:rsidR="00132E7D" w:rsidRDefault="00132E7D" w:rsidP="00F030D3">
      <w:pPr>
        <w:spacing w:before="40" w:after="40" w:line="300" w:lineRule="auto"/>
        <w:rPr>
          <w:rFonts w:ascii="Calibri" w:hAnsi="Calibri" w:cs="Calibri"/>
          <w:lang w:val="hr-HR"/>
        </w:rPr>
      </w:pPr>
      <w:r>
        <w:rPr>
          <w:rFonts w:ascii="Calibri" w:hAnsi="Calibri" w:cs="Calibri"/>
          <w:lang w:val="hr-HR"/>
        </w:rPr>
        <w:lastRenderedPageBreak/>
        <w:t xml:space="preserve">Nadalje, utvrđeno je da su komercijalne banke dobro upoznate s europskim fondovima te da pokazuju interes za poslovne prilike. Njihova se uloga dosad uglavnom svodila na osiguravanje toka novca za projekte. Ispitanici su izjavili da su visoke intervencijske stope sprječavale banke da financiraju troškove investiranja. </w:t>
      </w:r>
    </w:p>
    <w:p w14:paraId="63360AB5" w14:textId="77777777" w:rsidR="00132E7D" w:rsidRDefault="00132E7D" w:rsidP="00F030D3">
      <w:pPr>
        <w:spacing w:before="40" w:after="40" w:line="300" w:lineRule="auto"/>
        <w:rPr>
          <w:rFonts w:ascii="Calibri" w:hAnsi="Calibri" w:cs="Calibri"/>
          <w:lang w:val="hr-HR"/>
        </w:rPr>
      </w:pPr>
      <w:r>
        <w:rPr>
          <w:rFonts w:ascii="Calibri" w:hAnsi="Calibri" w:cs="Calibri"/>
          <w:lang w:val="hr-HR"/>
        </w:rPr>
        <w:t xml:space="preserve">Komercijalne i državne razvojne banke imaju iskustva u davanju zajmova jedinicama lokalne samouprave za investiranje u infrastrukturu, iako neke od njih napominju da to nije njihovo glavno tržište. Ispitanici su izjavili da bi razmotrili ponude lokalnih tijela iz svih dijelova zemlje. Smatraju da su dobro upravljanje i financijski temelj projekta važniji od veličine jedinice lokalne samouprave. </w:t>
      </w:r>
    </w:p>
    <w:p w14:paraId="2B45A6FC" w14:textId="20AF49AF" w:rsidR="00132E7D" w:rsidRPr="006F7940" w:rsidRDefault="00132E7D" w:rsidP="00F030D3">
      <w:pPr>
        <w:spacing w:before="40" w:after="40" w:line="300" w:lineRule="auto"/>
        <w:rPr>
          <w:rFonts w:ascii="Calibri" w:hAnsi="Calibri" w:cs="Calibri"/>
          <w:lang w:val="hr-HR"/>
        </w:rPr>
      </w:pPr>
      <w:r w:rsidRPr="006F7940">
        <w:rPr>
          <w:rFonts w:ascii="Calibri" w:hAnsi="Calibri" w:cs="Calibri"/>
          <w:lang w:val="hr-HR"/>
        </w:rPr>
        <w:t>No, u manjim gradovim</w:t>
      </w:r>
      <w:r>
        <w:rPr>
          <w:rFonts w:ascii="Calibri" w:hAnsi="Calibri" w:cs="Calibri"/>
          <w:lang w:val="hr-HR"/>
        </w:rPr>
        <w:t>a</w:t>
      </w:r>
      <w:r w:rsidRPr="006F7940">
        <w:rPr>
          <w:rFonts w:ascii="Calibri" w:hAnsi="Calibri" w:cs="Calibri"/>
          <w:lang w:val="hr-HR"/>
        </w:rPr>
        <w:t xml:space="preserve"> </w:t>
      </w:r>
      <w:r>
        <w:rPr>
          <w:rFonts w:ascii="Calibri" w:hAnsi="Calibri" w:cs="Calibri"/>
          <w:lang w:val="hr-HR"/>
        </w:rPr>
        <w:t xml:space="preserve">pravni zahtjevi vezani uz kreditiranje ograničavaju potencijal za realizaciju projekata (lokalne vlasti mogu iskoristiti do 20% godišnjeg proračuna na vraćanje kredita), u kombinaciji sa skromnim iznosima sredstava kojima raspolažu lokalne vlasti u manjim područjima. Ispitanici su naveli da pojedine ruralne općine na godišnjoj razini raspolažu s manje od pola milijuna eura. </w:t>
      </w:r>
    </w:p>
    <w:p w14:paraId="2A23D43C" w14:textId="7FAA8EF8" w:rsidR="00132E7D" w:rsidRPr="002D2807" w:rsidRDefault="00132E7D" w:rsidP="00F030D3">
      <w:pPr>
        <w:spacing w:before="40" w:after="40" w:line="300" w:lineRule="auto"/>
        <w:rPr>
          <w:rFonts w:ascii="Calibri" w:hAnsi="Calibri" w:cs="Calibri"/>
          <w:lang w:val="hr-HR"/>
        </w:rPr>
      </w:pPr>
      <w:r>
        <w:rPr>
          <w:rFonts w:ascii="Calibri" w:hAnsi="Calibri" w:cs="Calibri"/>
          <w:lang w:val="hr-HR"/>
        </w:rPr>
        <w:t xml:space="preserve">Iako su procijenili da je rizik od neuspjeha na ovom tržištu nizak, napomenuli su kako postoji mogućnost da određeni projekti zapadnu u teškoće, </w:t>
      </w:r>
      <w:r w:rsidRPr="00200E8C">
        <w:rPr>
          <w:rFonts w:ascii="Calibri" w:hAnsi="Calibri" w:cs="Calibri"/>
          <w:lang w:val="hr-HR"/>
        </w:rPr>
        <w:t>što bi zahtijevalo intenzivno i skupo upravljanje</w:t>
      </w:r>
      <w:r>
        <w:rPr>
          <w:rFonts w:ascii="Calibri" w:hAnsi="Calibri" w:cs="Calibri"/>
          <w:lang w:val="hr-HR"/>
        </w:rPr>
        <w:t xml:space="preserve">, a poznato je da banke nisu sklone svoju </w:t>
      </w:r>
      <w:r w:rsidRPr="002D2807">
        <w:rPr>
          <w:rFonts w:ascii="Calibri" w:hAnsi="Calibri" w:cs="Calibri"/>
          <w:lang w:val="hr-HR"/>
        </w:rPr>
        <w:t>reputacij</w:t>
      </w:r>
      <w:r>
        <w:rPr>
          <w:rFonts w:ascii="Calibri" w:hAnsi="Calibri" w:cs="Calibri"/>
          <w:lang w:val="hr-HR"/>
        </w:rPr>
        <w:t xml:space="preserve">u izlagati riziku. </w:t>
      </w:r>
      <w:r w:rsidRPr="002D2807">
        <w:rPr>
          <w:rFonts w:ascii="Calibri" w:hAnsi="Calibri" w:cs="Calibri"/>
          <w:lang w:val="hr-HR"/>
        </w:rPr>
        <w:t xml:space="preserve"> </w:t>
      </w:r>
    </w:p>
    <w:p w14:paraId="3B91CE99" w14:textId="77777777" w:rsidR="00132E7D" w:rsidRPr="002D2807" w:rsidRDefault="00132E7D" w:rsidP="00F030D3">
      <w:pPr>
        <w:spacing w:before="40" w:after="40" w:line="300" w:lineRule="auto"/>
        <w:rPr>
          <w:rFonts w:ascii="Calibri" w:hAnsi="Calibri" w:cs="Calibri"/>
          <w:lang w:val="hr-HR"/>
        </w:rPr>
      </w:pPr>
    </w:p>
    <w:p w14:paraId="63AFA463" w14:textId="77777777" w:rsidR="00132E7D" w:rsidRPr="00CF2B98" w:rsidRDefault="00132E7D" w:rsidP="00F030D3">
      <w:pPr>
        <w:pStyle w:val="14-Heading2"/>
        <w:spacing w:before="40" w:after="40" w:line="300" w:lineRule="auto"/>
        <w:rPr>
          <w:sz w:val="22"/>
          <w:szCs w:val="22"/>
          <w:lang w:val="hr-HR"/>
        </w:rPr>
      </w:pPr>
      <w:bookmarkStart w:id="11" w:name="_Toc394052278"/>
      <w:r w:rsidRPr="00CF2B98">
        <w:rPr>
          <w:sz w:val="22"/>
          <w:szCs w:val="22"/>
          <w:lang w:val="hr-HR"/>
        </w:rPr>
        <w:t>4.5</w:t>
      </w:r>
      <w:r w:rsidRPr="00CF2B98">
        <w:rPr>
          <w:sz w:val="22"/>
          <w:szCs w:val="22"/>
          <w:lang w:val="hr-HR"/>
        </w:rPr>
        <w:tab/>
        <w:t>Kapacitet za upravljanje fondom za urbani razvoj u okviru JESSICA-e</w:t>
      </w:r>
      <w:bookmarkEnd w:id="11"/>
      <w:r w:rsidRPr="00CF2B98">
        <w:rPr>
          <w:sz w:val="22"/>
          <w:szCs w:val="22"/>
          <w:lang w:val="hr-HR"/>
        </w:rPr>
        <w:t xml:space="preserve"> </w:t>
      </w:r>
    </w:p>
    <w:p w14:paraId="64425DE1" w14:textId="77777777" w:rsidR="00132E7D" w:rsidRPr="002D222A" w:rsidRDefault="00132E7D" w:rsidP="00F030D3">
      <w:pPr>
        <w:spacing w:before="40" w:after="40" w:line="300" w:lineRule="auto"/>
        <w:rPr>
          <w:rFonts w:ascii="Calibri" w:hAnsi="Calibri" w:cs="Calibri"/>
          <w:lang w:val="hr-HR"/>
        </w:rPr>
      </w:pPr>
      <w:r>
        <w:rPr>
          <w:rFonts w:ascii="Calibri" w:hAnsi="Calibri" w:cs="Calibri"/>
          <w:lang w:val="hr-HR"/>
        </w:rPr>
        <w:t xml:space="preserve">Mogućnost upravljanja JESSICA-om u Republici Hrvatskoj otvara pitanja o mogućnostima osnivanja jednog ili više fondova za urbani razvoj te sudjelovanje Europske investicijske banke. </w:t>
      </w:r>
    </w:p>
    <w:p w14:paraId="61185A80" w14:textId="77777777" w:rsidR="00132E7D" w:rsidRDefault="00132E7D" w:rsidP="00F030D3">
      <w:pPr>
        <w:spacing w:before="40" w:after="40" w:line="300" w:lineRule="auto"/>
        <w:rPr>
          <w:rFonts w:ascii="Calibri" w:hAnsi="Calibri" w:cs="Calibri"/>
          <w:lang w:val="hr-HR"/>
        </w:rPr>
      </w:pPr>
      <w:r>
        <w:rPr>
          <w:rFonts w:ascii="Calibri" w:hAnsi="Calibri" w:cs="Calibri"/>
          <w:lang w:val="hr-HR"/>
        </w:rPr>
        <w:t>Konzultacije su pokazale da je u sektoru nekretnina i financijskih usluga uočena visoka razina profesionalne stručnosti i potrebnih vještina, koje bi mogle činiti osnovu za upravljanje JESSICA-om u Republici Hrvatskoj.</w:t>
      </w:r>
    </w:p>
    <w:p w14:paraId="7E54D190" w14:textId="77777777" w:rsidR="00132E7D" w:rsidRDefault="00132E7D" w:rsidP="00F030D3">
      <w:pPr>
        <w:spacing w:before="40" w:after="40" w:line="300" w:lineRule="auto"/>
        <w:rPr>
          <w:rFonts w:ascii="Calibri" w:hAnsi="Calibri" w:cs="Calibri"/>
          <w:lang w:val="hr-HR"/>
        </w:rPr>
      </w:pPr>
      <w:r>
        <w:rPr>
          <w:rFonts w:ascii="Calibri" w:hAnsi="Calibri" w:cs="Calibri"/>
          <w:lang w:val="hr-HR"/>
        </w:rPr>
        <w:t xml:space="preserve">Stručnjaci za nekretnine ukazali su na to da se na hrvatskom tržištu trenutačno ne odvijaju aktivnosti upravljanja </w:t>
      </w:r>
      <w:r w:rsidRPr="00095EC6">
        <w:rPr>
          <w:rFonts w:ascii="Calibri" w:hAnsi="Calibri" w:cs="Calibri"/>
          <w:lang w:val="hr-HR"/>
        </w:rPr>
        <w:t>ulaganj</w:t>
      </w:r>
      <w:r>
        <w:rPr>
          <w:rFonts w:ascii="Calibri" w:hAnsi="Calibri" w:cs="Calibri"/>
          <w:lang w:val="hr-HR"/>
        </w:rPr>
        <w:t>im</w:t>
      </w:r>
      <w:r w:rsidRPr="00095EC6">
        <w:rPr>
          <w:rFonts w:ascii="Calibri" w:hAnsi="Calibri" w:cs="Calibri"/>
          <w:lang w:val="hr-HR"/>
        </w:rPr>
        <w:t>a u nekretnine iz portfelja,</w:t>
      </w:r>
      <w:r>
        <w:rPr>
          <w:rFonts w:ascii="Calibri" w:hAnsi="Calibri" w:cs="Calibri"/>
          <w:color w:val="548DD4"/>
          <w:lang w:val="hr-HR"/>
        </w:rPr>
        <w:t xml:space="preserve"> </w:t>
      </w:r>
      <w:r w:rsidRPr="00006250">
        <w:rPr>
          <w:rFonts w:ascii="Calibri" w:hAnsi="Calibri" w:cs="Calibri"/>
          <w:lang w:val="hr-HR"/>
        </w:rPr>
        <w:t xml:space="preserve">no </w:t>
      </w:r>
      <w:r>
        <w:rPr>
          <w:rFonts w:ascii="Calibri" w:hAnsi="Calibri" w:cs="Calibri"/>
          <w:lang w:val="hr-HR"/>
        </w:rPr>
        <w:t xml:space="preserve">određeni broj </w:t>
      </w:r>
      <w:r w:rsidRPr="00254C31">
        <w:rPr>
          <w:rFonts w:ascii="Calibri" w:hAnsi="Calibri" w:cs="Calibri"/>
          <w:i/>
          <w:iCs/>
          <w:lang w:val="hr-HR"/>
        </w:rPr>
        <w:t>developera</w:t>
      </w:r>
      <w:r>
        <w:rPr>
          <w:rFonts w:ascii="Calibri" w:hAnsi="Calibri" w:cs="Calibri"/>
          <w:lang w:val="hr-HR"/>
        </w:rPr>
        <w:t xml:space="preserve"> i stručnjaka za nekretnine iskazao je</w:t>
      </w:r>
      <w:r w:rsidRPr="00006250">
        <w:rPr>
          <w:rFonts w:ascii="Calibri" w:hAnsi="Calibri" w:cs="Calibri"/>
          <w:lang w:val="hr-HR"/>
        </w:rPr>
        <w:t xml:space="preserve"> interes za </w:t>
      </w:r>
      <w:r>
        <w:rPr>
          <w:rFonts w:ascii="Calibri" w:hAnsi="Calibri" w:cs="Calibri"/>
          <w:lang w:val="hr-HR"/>
        </w:rPr>
        <w:t xml:space="preserve">ovim oblikom poslovanja. </w:t>
      </w:r>
    </w:p>
    <w:p w14:paraId="16F88530" w14:textId="77777777" w:rsidR="00132E7D" w:rsidRPr="00A812AA" w:rsidRDefault="00132E7D" w:rsidP="00F030D3">
      <w:pPr>
        <w:spacing w:before="40" w:after="40" w:line="300" w:lineRule="auto"/>
        <w:rPr>
          <w:rFonts w:ascii="Calibri" w:hAnsi="Calibri" w:cs="Calibri"/>
          <w:color w:val="548DD4"/>
          <w:lang w:val="hr-HR"/>
        </w:rPr>
      </w:pPr>
      <w:r>
        <w:rPr>
          <w:rFonts w:ascii="Calibri" w:hAnsi="Calibri" w:cs="Calibri"/>
          <w:lang w:val="hr-HR"/>
        </w:rPr>
        <w:t xml:space="preserve">Komercijalne bi banke bile otvorene za mogućnost sudjelovanja u fondovima za urbani razvoj u svojstvu investitora. Također su naglasile da posjeduju vještine koje su potrebne za upravljanje takvim fondom. No, s obzirom na njihove glavne interese na tržištu i trenutačne zahtjeve za prilagođavanjem poslovanja nakon ulaska Republike Hrvatske u Europsku uniju, sumnjaju da bi im </w:t>
      </w:r>
      <w:r w:rsidRPr="00444D54">
        <w:rPr>
          <w:rFonts w:ascii="Calibri" w:hAnsi="Calibri" w:cs="Calibri"/>
          <w:lang w:val="hr-HR"/>
        </w:rPr>
        <w:t>to bio jedan od prioritetnih ciljeva.</w:t>
      </w:r>
      <w:r w:rsidRPr="00A812AA">
        <w:rPr>
          <w:rFonts w:ascii="Calibri" w:hAnsi="Calibri" w:cs="Calibri"/>
          <w:color w:val="548DD4"/>
          <w:lang w:val="hr-HR"/>
        </w:rPr>
        <w:t xml:space="preserve">  </w:t>
      </w:r>
    </w:p>
    <w:p w14:paraId="571A5049" w14:textId="77777777" w:rsidR="00132E7D" w:rsidRDefault="00132E7D" w:rsidP="00F030D3">
      <w:pPr>
        <w:tabs>
          <w:tab w:val="left" w:pos="1843"/>
        </w:tabs>
        <w:spacing w:before="40" w:after="40" w:line="300" w:lineRule="auto"/>
        <w:rPr>
          <w:rFonts w:ascii="Calibri" w:hAnsi="Calibri" w:cs="Calibri"/>
          <w:lang w:val="hr-HR"/>
        </w:rPr>
      </w:pPr>
      <w:r>
        <w:rPr>
          <w:rFonts w:ascii="Calibri" w:hAnsi="Calibri" w:cs="Calibri"/>
          <w:lang w:val="hr-HR"/>
        </w:rPr>
        <w:t>Komercijalne banke smatraju da Hrvatska banka za obnovu i razvoj (HBOR)</w:t>
      </w:r>
      <w:r w:rsidRPr="002D2807">
        <w:rPr>
          <w:rFonts w:ascii="Calibri" w:hAnsi="Calibri" w:cs="Calibri"/>
          <w:lang w:val="hr-HR"/>
        </w:rPr>
        <w:t xml:space="preserve">, </w:t>
      </w:r>
      <w:r>
        <w:rPr>
          <w:rFonts w:ascii="Calibri" w:hAnsi="Calibri" w:cs="Calibri"/>
          <w:lang w:val="hr-HR"/>
        </w:rPr>
        <w:t xml:space="preserve">s kojom njeguju dobre poslovne odnose, ima potencijal za djelovanje u ovom području, što bi moglo uključivati i upravljanje </w:t>
      </w:r>
      <w:r w:rsidRPr="00DD58AD">
        <w:rPr>
          <w:rFonts w:ascii="Calibri" w:hAnsi="Calibri" w:cs="Calibri"/>
          <w:lang w:val="hr-HR"/>
        </w:rPr>
        <w:t xml:space="preserve">holding </w:t>
      </w:r>
      <w:r>
        <w:rPr>
          <w:rFonts w:ascii="Calibri" w:hAnsi="Calibri" w:cs="Calibri"/>
          <w:lang w:val="hr-HR"/>
        </w:rPr>
        <w:t xml:space="preserve">fondom u okviru JESSICA-e. HBOR je ukazao na to da, bez obzira što se njihova temeljna aktivnost odnosi na poslovanje s malim klijentima i poduzećima, trenutačno razmatra mogućnost značajnijeg restrukturiranja i povećanja kapaciteta. </w:t>
      </w:r>
    </w:p>
    <w:p w14:paraId="2786F629" w14:textId="77777777" w:rsidR="00132E7D" w:rsidRPr="00F030D3" w:rsidRDefault="00132E7D" w:rsidP="00F030D3">
      <w:pPr>
        <w:spacing w:before="40" w:after="40" w:line="300" w:lineRule="auto"/>
        <w:rPr>
          <w:rFonts w:ascii="Calibri" w:hAnsi="Calibri" w:cs="Calibri"/>
          <w:lang w:val="hr-HR"/>
        </w:rPr>
      </w:pPr>
    </w:p>
    <w:p w14:paraId="7F9E3D1C" w14:textId="77777777" w:rsidR="00132E7D" w:rsidRPr="00F030D3" w:rsidRDefault="00132E7D" w:rsidP="00F030D3">
      <w:pPr>
        <w:spacing w:before="40" w:after="40" w:line="300" w:lineRule="auto"/>
        <w:rPr>
          <w:rFonts w:ascii="Calibri" w:hAnsi="Calibri" w:cs="Calibri"/>
          <w:sz w:val="28"/>
          <w:szCs w:val="28"/>
          <w:lang w:val="hr-HR"/>
        </w:rPr>
      </w:pPr>
      <w:r w:rsidRPr="00F030D3">
        <w:rPr>
          <w:rFonts w:ascii="Calibri" w:hAnsi="Calibri" w:cs="Calibri"/>
          <w:sz w:val="28"/>
          <w:szCs w:val="28"/>
          <w:lang w:val="hr-HR"/>
        </w:rPr>
        <w:br w:type="page"/>
      </w:r>
    </w:p>
    <w:p w14:paraId="749B608B" w14:textId="07BA5BE1" w:rsidR="00132E7D" w:rsidRPr="00F3760D" w:rsidRDefault="00132E7D" w:rsidP="00CF2B98">
      <w:pPr>
        <w:pStyle w:val="14-Heading1"/>
        <w:spacing w:before="40" w:after="40" w:line="300" w:lineRule="auto"/>
        <w:jc w:val="left"/>
        <w:rPr>
          <w:lang w:val="hr-HR"/>
        </w:rPr>
      </w:pPr>
      <w:bookmarkStart w:id="12" w:name="_Toc394052279"/>
      <w:r w:rsidRPr="00F030D3">
        <w:rPr>
          <w:lang w:val="es-AR"/>
        </w:rPr>
        <w:lastRenderedPageBreak/>
        <w:t>5.</w:t>
      </w:r>
      <w:r w:rsidR="00675687">
        <w:rPr>
          <w:lang w:val="es-AR"/>
        </w:rPr>
        <w:t xml:space="preserve"> </w:t>
      </w:r>
      <w:r w:rsidRPr="00F3760D">
        <w:rPr>
          <w:lang w:val="hr-HR"/>
        </w:rPr>
        <w:t xml:space="preserve">Financijski instrumenti za promicanje ulaganja u energetsku učinkovitost </w:t>
      </w:r>
      <w:r>
        <w:rPr>
          <w:lang w:val="hr-HR"/>
        </w:rPr>
        <w:t>i</w:t>
      </w:r>
      <w:r w:rsidRPr="00F3760D">
        <w:rPr>
          <w:lang w:val="hr-HR"/>
        </w:rPr>
        <w:t xml:space="preserve"> obnovljive</w:t>
      </w:r>
      <w:r w:rsidR="00675687">
        <w:rPr>
          <w:lang w:val="hr-HR"/>
        </w:rPr>
        <w:t xml:space="preserve"> </w:t>
      </w:r>
      <w:r w:rsidRPr="00F3760D">
        <w:rPr>
          <w:lang w:val="hr-HR"/>
        </w:rPr>
        <w:t>izvore energije</w:t>
      </w:r>
      <w:bookmarkEnd w:id="12"/>
      <w:r w:rsidRPr="00F3760D">
        <w:rPr>
          <w:lang w:val="hr-HR"/>
        </w:rPr>
        <w:t xml:space="preserve"> </w:t>
      </w:r>
    </w:p>
    <w:p w14:paraId="07D39AA1" w14:textId="7E0EF48F" w:rsidR="00132E7D" w:rsidRPr="00F3760D" w:rsidRDefault="00132E7D" w:rsidP="00F030D3">
      <w:pPr>
        <w:spacing w:before="40" w:after="40" w:line="300" w:lineRule="auto"/>
        <w:rPr>
          <w:rFonts w:ascii="Calibri" w:hAnsi="Calibri" w:cs="Calibri"/>
          <w:lang w:val="hr-HR"/>
        </w:rPr>
      </w:pPr>
      <w:r w:rsidRPr="00F3760D">
        <w:rPr>
          <w:rFonts w:ascii="Calibri" w:hAnsi="Calibri" w:cs="Calibri"/>
          <w:lang w:val="hr-HR"/>
        </w:rPr>
        <w:t>T</w:t>
      </w:r>
      <w:r>
        <w:rPr>
          <w:rFonts w:ascii="Calibri" w:hAnsi="Calibri" w:cs="Calibri"/>
          <w:lang w:val="hr-HR"/>
        </w:rPr>
        <w:t>ematski cilj</w:t>
      </w:r>
      <w:r w:rsidRPr="00F3760D">
        <w:rPr>
          <w:rFonts w:ascii="Calibri" w:hAnsi="Calibri" w:cs="Calibri"/>
          <w:lang w:val="hr-HR"/>
        </w:rPr>
        <w:t xml:space="preserve"> 4 </w:t>
      </w:r>
      <w:r>
        <w:rPr>
          <w:rFonts w:ascii="Calibri" w:hAnsi="Calibri" w:cs="Calibri"/>
          <w:lang w:val="hr-HR"/>
        </w:rPr>
        <w:t xml:space="preserve">- </w:t>
      </w:r>
      <w:r>
        <w:rPr>
          <w:rFonts w:ascii="Calibri" w:hAnsi="Calibri" w:cs="Calibri"/>
          <w:i/>
          <w:iCs/>
          <w:lang w:val="hr-HR"/>
        </w:rPr>
        <w:t>Podržavanje prelaska na ekonomju s niskom razinom emisije CO</w:t>
      </w:r>
      <w:r w:rsidRPr="00CF2B98">
        <w:rPr>
          <w:rFonts w:ascii="Calibri" w:hAnsi="Calibri" w:cs="Calibri"/>
          <w:i/>
          <w:iCs/>
          <w:vertAlign w:val="subscript"/>
          <w:lang w:val="hr-HR"/>
        </w:rPr>
        <w:t>2</w:t>
      </w:r>
      <w:r>
        <w:rPr>
          <w:rFonts w:ascii="Calibri" w:hAnsi="Calibri" w:cs="Calibri"/>
          <w:i/>
          <w:iCs/>
          <w:lang w:val="hr-HR"/>
        </w:rPr>
        <w:t xml:space="preserve"> u svim sektorima</w:t>
      </w:r>
      <w:r w:rsidRPr="00F3760D">
        <w:rPr>
          <w:rFonts w:ascii="Calibri" w:hAnsi="Calibri" w:cs="Calibri"/>
          <w:i/>
          <w:iCs/>
          <w:lang w:val="hr-HR"/>
        </w:rPr>
        <w:t xml:space="preserve"> </w:t>
      </w:r>
      <w:r>
        <w:rPr>
          <w:rFonts w:ascii="Calibri" w:hAnsi="Calibri" w:cs="Calibri"/>
          <w:lang w:val="hr-HR"/>
        </w:rPr>
        <w:t>najvjerojatnije će nagovijestiti značajno višu razinu ulaganja u energetsku učinkovitost i obnovljive izvore energije nego što je to dosad bio slučaj u okviru programa Europske unije. Iscrpna studija koju je 2010. godine proveo Institut za energiju Zajedničkog istraživačkog centra Europske komisije u Ispri</w:t>
      </w:r>
      <w:r w:rsidRPr="00F3760D">
        <w:rPr>
          <w:rFonts w:ascii="Calibri" w:hAnsi="Calibri" w:cs="Calibri"/>
          <w:vertAlign w:val="superscript"/>
          <w:lang w:val="hr-HR"/>
        </w:rPr>
        <w:footnoteReference w:id="11"/>
      </w:r>
      <w:r>
        <w:rPr>
          <w:rFonts w:ascii="Calibri" w:hAnsi="Calibri" w:cs="Calibri"/>
          <w:lang w:val="hr-HR"/>
        </w:rPr>
        <w:t>,</w:t>
      </w:r>
      <w:r w:rsidRPr="00F3760D">
        <w:rPr>
          <w:rFonts w:ascii="Calibri" w:hAnsi="Calibri" w:cs="Calibri"/>
          <w:lang w:val="hr-HR"/>
        </w:rPr>
        <w:t xml:space="preserve"> </w:t>
      </w:r>
      <w:r>
        <w:rPr>
          <w:rFonts w:ascii="Calibri" w:hAnsi="Calibri" w:cs="Calibri"/>
          <w:lang w:val="hr-HR"/>
        </w:rPr>
        <w:t>utvrdila je najvažnija problematična područja u financiranju projekata u ovom sektoru, uključujući</w:t>
      </w:r>
      <w:r w:rsidRPr="00F3760D">
        <w:rPr>
          <w:rFonts w:ascii="Calibri" w:hAnsi="Calibri" w:cs="Calibri"/>
          <w:lang w:val="hr-HR"/>
        </w:rPr>
        <w:t>:</w:t>
      </w:r>
    </w:p>
    <w:p w14:paraId="5BDFB5C7" w14:textId="77777777" w:rsidR="00132E7D" w:rsidRPr="00F3760D" w:rsidRDefault="00132E7D" w:rsidP="00F030D3">
      <w:pPr>
        <w:numPr>
          <w:ilvl w:val="0"/>
          <w:numId w:val="37"/>
        </w:numPr>
        <w:spacing w:before="40" w:after="40" w:line="300" w:lineRule="auto"/>
        <w:ind w:left="357" w:hanging="357"/>
        <w:rPr>
          <w:rFonts w:ascii="Calibri" w:hAnsi="Calibri" w:cs="Calibri"/>
          <w:lang w:val="hr-HR"/>
        </w:rPr>
      </w:pPr>
      <w:r>
        <w:rPr>
          <w:rFonts w:ascii="Calibri" w:hAnsi="Calibri" w:cs="Calibri"/>
          <w:lang w:val="hr-HR"/>
        </w:rPr>
        <w:t xml:space="preserve">visoke troškove transakcija i razvoja koji prethode ulaganju te dugačke rokove otplate; </w:t>
      </w:r>
    </w:p>
    <w:p w14:paraId="304D8257" w14:textId="77777777" w:rsidR="00132E7D" w:rsidRDefault="00132E7D" w:rsidP="00F030D3">
      <w:pPr>
        <w:numPr>
          <w:ilvl w:val="0"/>
          <w:numId w:val="37"/>
        </w:numPr>
        <w:spacing w:before="40" w:after="40" w:line="300" w:lineRule="auto"/>
        <w:ind w:left="357" w:hanging="357"/>
        <w:rPr>
          <w:rFonts w:ascii="Calibri" w:hAnsi="Calibri" w:cs="Calibri"/>
          <w:lang w:val="hr-HR"/>
        </w:rPr>
      </w:pPr>
      <w:r>
        <w:rPr>
          <w:rFonts w:ascii="Calibri" w:hAnsi="Calibri" w:cs="Calibri"/>
          <w:lang w:val="hr-HR"/>
        </w:rPr>
        <w:t>nedostatnu osviještenost potrošača,</w:t>
      </w:r>
      <w:r w:rsidRPr="0060738E">
        <w:rPr>
          <w:rFonts w:ascii="Calibri" w:hAnsi="Calibri" w:cs="Calibri"/>
          <w:color w:val="548DD4"/>
          <w:lang w:val="hr-HR"/>
        </w:rPr>
        <w:t xml:space="preserve"> </w:t>
      </w:r>
      <w:r>
        <w:rPr>
          <w:rFonts w:ascii="Calibri" w:hAnsi="Calibri" w:cs="Calibri"/>
          <w:lang w:val="hr-HR"/>
        </w:rPr>
        <w:t xml:space="preserve">visoki rizik u pogledu novih, učinkovitijih tehnologija - </w:t>
      </w:r>
      <w:r w:rsidRPr="000253D2">
        <w:rPr>
          <w:rFonts w:ascii="Calibri" w:hAnsi="Calibri" w:cs="Calibri"/>
          <w:lang w:val="hr-HR"/>
        </w:rPr>
        <w:t>koji je prisutan i kod k</w:t>
      </w:r>
      <w:r>
        <w:rPr>
          <w:rFonts w:ascii="Calibri" w:hAnsi="Calibri" w:cs="Calibri"/>
          <w:lang w:val="hr-HR"/>
        </w:rPr>
        <w:t xml:space="preserve">orisnika i kod pružatelja sredstava, te nepovjerenje u energetske studije; </w:t>
      </w:r>
    </w:p>
    <w:p w14:paraId="288DFE6D" w14:textId="1EC90C89" w:rsidR="00132E7D" w:rsidRDefault="00132E7D" w:rsidP="00F030D3">
      <w:pPr>
        <w:numPr>
          <w:ilvl w:val="0"/>
          <w:numId w:val="37"/>
        </w:numPr>
        <w:spacing w:before="40" w:after="40" w:line="300" w:lineRule="auto"/>
        <w:ind w:left="357" w:hanging="357"/>
        <w:rPr>
          <w:rFonts w:ascii="Calibri" w:hAnsi="Calibri" w:cs="Calibri"/>
          <w:lang w:val="hr-HR"/>
        </w:rPr>
      </w:pPr>
      <w:r>
        <w:rPr>
          <w:rFonts w:ascii="Calibri" w:hAnsi="Calibri" w:cs="Calibri"/>
          <w:lang w:val="hr-HR"/>
        </w:rPr>
        <w:t>općeniti nedostatak iskustva komercijalnih financijskih institucija s financiranjem energetske učinkovitosti te visoke rizike vezane uz kreditiranje krajnjih korisnika;</w:t>
      </w:r>
    </w:p>
    <w:p w14:paraId="6A6665A0" w14:textId="77777777" w:rsidR="00132E7D" w:rsidRDefault="00132E7D" w:rsidP="00F030D3">
      <w:pPr>
        <w:numPr>
          <w:ilvl w:val="0"/>
          <w:numId w:val="37"/>
        </w:numPr>
        <w:spacing w:before="40" w:after="40" w:line="300" w:lineRule="auto"/>
        <w:ind w:left="357" w:hanging="357"/>
        <w:rPr>
          <w:rFonts w:ascii="Calibri" w:hAnsi="Calibri" w:cs="Calibri"/>
          <w:lang w:val="hr-HR"/>
        </w:rPr>
      </w:pPr>
      <w:r>
        <w:rPr>
          <w:rFonts w:ascii="Calibri" w:hAnsi="Calibri" w:cs="Calibri"/>
          <w:lang w:val="hr-HR"/>
        </w:rPr>
        <w:t>dugačke marketinške cikluse povezane s prodajom energetske učinkovitosti i nisku vrijednost imovine kao kolateralnog jamstva opreme za poboljšanje energetske učinkovitosti;</w:t>
      </w:r>
    </w:p>
    <w:p w14:paraId="755596A5" w14:textId="77777777" w:rsidR="00132E7D" w:rsidRPr="009E3B58" w:rsidRDefault="00132E7D" w:rsidP="00F030D3">
      <w:pPr>
        <w:numPr>
          <w:ilvl w:val="0"/>
          <w:numId w:val="37"/>
        </w:numPr>
        <w:spacing w:before="40" w:after="40" w:line="300" w:lineRule="auto"/>
        <w:ind w:left="357" w:hanging="357"/>
        <w:rPr>
          <w:rFonts w:ascii="Calibri" w:hAnsi="Calibri" w:cs="Calibri"/>
          <w:lang w:val="hr-HR"/>
        </w:rPr>
      </w:pPr>
      <w:r>
        <w:rPr>
          <w:rFonts w:ascii="Calibri" w:hAnsi="Calibri" w:cs="Calibri"/>
          <w:lang w:val="hr-HR"/>
        </w:rPr>
        <w:t xml:space="preserve">nevoljkost ili nemogućnost da vlasnici </w:t>
      </w:r>
      <w:r w:rsidRPr="00175449">
        <w:rPr>
          <w:rFonts w:ascii="Calibri" w:hAnsi="Calibri" w:cs="Calibri"/>
          <w:lang w:val="hr-HR"/>
        </w:rPr>
        <w:t>nekretnina financiraju projekte u sklopu bilance,</w:t>
      </w:r>
      <w:r w:rsidRPr="009E3B58">
        <w:rPr>
          <w:rFonts w:ascii="Calibri" w:hAnsi="Calibri" w:cs="Calibri"/>
          <w:color w:val="548DD4"/>
          <w:lang w:val="hr-HR"/>
        </w:rPr>
        <w:t xml:space="preserve"> </w:t>
      </w:r>
      <w:r>
        <w:rPr>
          <w:rFonts w:ascii="Calibri" w:hAnsi="Calibri" w:cs="Calibri"/>
          <w:lang w:val="hr-HR"/>
        </w:rPr>
        <w:t>a istovremeno se</w:t>
      </w:r>
      <w:r w:rsidRPr="00444D54">
        <w:rPr>
          <w:rFonts w:ascii="Calibri" w:hAnsi="Calibri" w:cs="Calibri"/>
          <w:lang w:val="hr-HR"/>
        </w:rPr>
        <w:t xml:space="preserve"> </w:t>
      </w:r>
      <w:r w:rsidRPr="000253D2">
        <w:rPr>
          <w:rFonts w:ascii="Calibri" w:hAnsi="Calibri" w:cs="Calibri"/>
          <w:lang w:val="hr-HR"/>
        </w:rPr>
        <w:t xml:space="preserve">novac </w:t>
      </w:r>
      <w:r w:rsidRPr="00444D54">
        <w:rPr>
          <w:rFonts w:ascii="Calibri" w:hAnsi="Calibri" w:cs="Calibri"/>
          <w:lang w:val="hr-HR"/>
        </w:rPr>
        <w:t>od uštede energije</w:t>
      </w:r>
      <w:r>
        <w:rPr>
          <w:rFonts w:ascii="Calibri" w:hAnsi="Calibri" w:cs="Calibri"/>
          <w:lang w:val="hr-HR"/>
        </w:rPr>
        <w:t>, u kulturi financiranja koja se još uvijek temelji na imovini, ne smatra uobičajenim prihodima.</w:t>
      </w:r>
    </w:p>
    <w:p w14:paraId="6F812AE1" w14:textId="77777777" w:rsidR="00132E7D" w:rsidRDefault="00132E7D" w:rsidP="00F030D3">
      <w:pPr>
        <w:spacing w:before="40" w:after="40" w:line="300" w:lineRule="auto"/>
        <w:rPr>
          <w:rFonts w:ascii="Calibri" w:hAnsi="Calibri" w:cs="Calibri"/>
          <w:lang w:val="hr-HR"/>
        </w:rPr>
      </w:pPr>
      <w:r>
        <w:rPr>
          <w:rFonts w:ascii="Calibri" w:hAnsi="Calibri" w:cs="Calibri"/>
          <w:lang w:val="hr-HR"/>
        </w:rPr>
        <w:t xml:space="preserve">Dok ovi čimbenici, s jedne strane, odražavaju značajne tržišne neuspjehe kojima bi se mogli pozabaviti financijski instrumenti koje financira EU, s druge strane mogu predstavljati prepreke </w:t>
      </w:r>
      <w:r w:rsidRPr="00D455F3">
        <w:rPr>
          <w:rFonts w:ascii="Calibri" w:hAnsi="Calibri" w:cs="Calibri"/>
          <w:lang w:val="hr-HR"/>
        </w:rPr>
        <w:t xml:space="preserve">upravljanju tim instrumentima </w:t>
      </w:r>
      <w:r>
        <w:rPr>
          <w:rFonts w:ascii="Calibri" w:hAnsi="Calibri" w:cs="Calibri"/>
          <w:lang w:val="hr-HR"/>
        </w:rPr>
        <w:t xml:space="preserve">– ovisno o uvjetima u državi članici. Ovo je relativno novo područje za financijske instrumente koje financira EU. U ranije spomenutom </w:t>
      </w:r>
      <w:r w:rsidRPr="00D455F3">
        <w:rPr>
          <w:rFonts w:ascii="Calibri" w:hAnsi="Calibri" w:cs="Calibri"/>
          <w:lang w:val="hr-HR"/>
        </w:rPr>
        <w:t xml:space="preserve">sažetku Europske </w:t>
      </w:r>
      <w:r>
        <w:rPr>
          <w:rFonts w:ascii="Calibri" w:hAnsi="Calibri" w:cs="Calibri"/>
          <w:lang w:val="hr-HR"/>
        </w:rPr>
        <w:t>komisije za razdoblje do 2012. godine</w:t>
      </w:r>
      <w:r w:rsidRPr="00F70B6F">
        <w:rPr>
          <w:rFonts w:ascii="Calibri" w:hAnsi="Calibri" w:cs="Calibri"/>
          <w:vertAlign w:val="superscript"/>
          <w:lang w:val="hr-HR"/>
        </w:rPr>
        <w:t xml:space="preserve"> </w:t>
      </w:r>
      <w:r w:rsidRPr="0059781F">
        <w:rPr>
          <w:rFonts w:ascii="Calibri" w:hAnsi="Calibri" w:cs="Calibri"/>
          <w:vertAlign w:val="superscript"/>
          <w:lang w:val="hr-HR"/>
        </w:rPr>
        <w:footnoteReference w:id="12"/>
      </w:r>
      <w:r>
        <w:rPr>
          <w:rFonts w:ascii="Calibri" w:hAnsi="Calibri" w:cs="Calibri"/>
          <w:lang w:val="hr-HR"/>
        </w:rPr>
        <w:t xml:space="preserve"> navedeno je samo 20 fondova za energetske investicije u osam država članica. Samo su četiri fonda osnovana u sklopu </w:t>
      </w:r>
      <w:r w:rsidRPr="00DD58AD">
        <w:rPr>
          <w:rFonts w:ascii="Calibri" w:hAnsi="Calibri" w:cs="Calibri"/>
          <w:lang w:val="hr-HR"/>
        </w:rPr>
        <w:t>strukture holding fonda</w:t>
      </w:r>
      <w:r>
        <w:rPr>
          <w:rFonts w:ascii="Calibri" w:hAnsi="Calibri" w:cs="Calibri"/>
          <w:lang w:val="hr-HR"/>
        </w:rPr>
        <w:t>, dok je preostalih dvanaest osnovano kao neovisni fondovi.</w:t>
      </w:r>
    </w:p>
    <w:p w14:paraId="4956EC27" w14:textId="77777777" w:rsidR="00132E7D" w:rsidRPr="00675687" w:rsidRDefault="00132E7D" w:rsidP="00F030D3">
      <w:pPr>
        <w:spacing w:before="40" w:after="40" w:line="300" w:lineRule="auto"/>
        <w:rPr>
          <w:rFonts w:ascii="Calibri" w:hAnsi="Calibri" w:cs="Calibri"/>
          <w:lang w:val="hr-HR"/>
        </w:rPr>
      </w:pPr>
    </w:p>
    <w:p w14:paraId="26AE7C18" w14:textId="77777777" w:rsidR="00132E7D" w:rsidRPr="00CF2B98" w:rsidRDefault="00132E7D" w:rsidP="00F030D3">
      <w:pPr>
        <w:pStyle w:val="14-Heading2"/>
        <w:spacing w:before="40" w:after="40" w:line="300" w:lineRule="auto"/>
        <w:rPr>
          <w:sz w:val="22"/>
          <w:szCs w:val="22"/>
          <w:lang w:val="hr-HR"/>
        </w:rPr>
      </w:pPr>
      <w:bookmarkStart w:id="13" w:name="_Toc394052280"/>
      <w:r w:rsidRPr="00CF2B98">
        <w:rPr>
          <w:sz w:val="22"/>
          <w:szCs w:val="22"/>
          <w:lang w:val="hr-HR"/>
        </w:rPr>
        <w:t>5.1 Investiranje u energetsku učinkovitost zgrada u javnom sektoru</w:t>
      </w:r>
      <w:bookmarkEnd w:id="13"/>
      <w:r w:rsidRPr="00CF2B98">
        <w:rPr>
          <w:sz w:val="22"/>
          <w:szCs w:val="22"/>
          <w:lang w:val="hr-HR"/>
        </w:rPr>
        <w:t xml:space="preserve"> </w:t>
      </w:r>
    </w:p>
    <w:p w14:paraId="0EDB7C17" w14:textId="77777777" w:rsidR="00132E7D" w:rsidRDefault="00132E7D" w:rsidP="00F030D3">
      <w:pPr>
        <w:spacing w:before="40" w:after="40" w:line="300" w:lineRule="auto"/>
        <w:rPr>
          <w:rFonts w:ascii="Calibri" w:hAnsi="Calibri" w:cs="Calibri"/>
          <w:lang w:val="hr-HR"/>
        </w:rPr>
      </w:pPr>
      <w:r>
        <w:rPr>
          <w:rFonts w:ascii="Calibri" w:hAnsi="Calibri" w:cs="Calibri"/>
          <w:lang w:val="hr-HR"/>
        </w:rPr>
        <w:t>Kada su zgrade u javnom sektoru u pitanju, studija Zajedničkog istraživačkog centra ukazuje na poteškoće povezane s pravilima javnog budžetiranja, uključujući proračunski ciklus na godišnjoj osnovi i višegodišnje novčane uštede, što javnim subjektima otežava financiranje ulaganja u energetsku učinkovitost iz ušteda na energetskim troškovima. Primjerice, lokalne vlasti možda će morati financirati ulaganja u energetsku učinkovitost iz vlastitih sredstava, dok se posljedične uštede pripisuju operativnom proračunu. Pri donošenju odluke o javnoj nabavi ne razmatraju se troškovi cjelokupnog životnog ciklusa, što predstavlja dodatni problem. Ova pitanja ukazuju na potrebu za posebnim pristupom financiranju ulaganja u energetsku učinkovitost zgrada u javnom sektoru.</w:t>
      </w:r>
    </w:p>
    <w:p w14:paraId="153429E4" w14:textId="77777777" w:rsidR="00132E7D" w:rsidRPr="002F4D3C" w:rsidRDefault="00132E7D" w:rsidP="00F030D3">
      <w:pPr>
        <w:spacing w:before="40" w:after="40" w:line="300" w:lineRule="auto"/>
        <w:rPr>
          <w:rFonts w:ascii="Calibri" w:hAnsi="Calibri" w:cs="Calibri"/>
          <w:lang w:val="hr-HR"/>
        </w:rPr>
      </w:pPr>
      <w:r>
        <w:rPr>
          <w:rFonts w:ascii="Calibri" w:hAnsi="Calibri" w:cs="Calibri"/>
          <w:lang w:val="hr-HR"/>
        </w:rPr>
        <w:lastRenderedPageBreak/>
        <w:t>Rezultati ovog istraživanja pokazuju da se za financiranje energetske učinkovitosti zgrada u javnom sektoru koristi ograničeni broj financijskih instrumenata EU-a, iako se dobri primjeri mogu naći u Španjolskoj</w:t>
      </w:r>
      <w:r w:rsidRPr="0059781F">
        <w:rPr>
          <w:rFonts w:ascii="Calibri" w:hAnsi="Calibri" w:cs="Calibri"/>
          <w:lang w:val="hr-HR"/>
        </w:rPr>
        <w:t xml:space="preserve"> (FIDEA - </w:t>
      </w:r>
      <w:hyperlink r:id="rId12" w:history="1">
        <w:r w:rsidRPr="0059781F">
          <w:rPr>
            <w:rFonts w:ascii="Calibri" w:hAnsi="Calibri" w:cs="Calibri"/>
            <w:color w:val="0000FF"/>
            <w:sz w:val="18"/>
            <w:szCs w:val="18"/>
            <w:u w:val="single"/>
            <w:lang w:val="hr-HR"/>
          </w:rPr>
          <w:t>http://europa.eu/rapid/press-release_BEI-11-99_en.htm</w:t>
        </w:r>
      </w:hyperlink>
      <w:r w:rsidRPr="0059781F">
        <w:rPr>
          <w:rFonts w:ascii="Calibri" w:hAnsi="Calibri" w:cs="Calibri"/>
          <w:lang w:val="hr-HR"/>
        </w:rPr>
        <w:t xml:space="preserve">) </w:t>
      </w:r>
      <w:r>
        <w:rPr>
          <w:rFonts w:ascii="Calibri" w:hAnsi="Calibri" w:cs="Calibri"/>
          <w:lang w:val="hr-HR"/>
        </w:rPr>
        <w:t>i u</w:t>
      </w:r>
      <w:r w:rsidRPr="0059781F">
        <w:rPr>
          <w:rFonts w:ascii="Calibri" w:hAnsi="Calibri" w:cs="Calibri"/>
          <w:lang w:val="hr-HR"/>
        </w:rPr>
        <w:t xml:space="preserve"> </w:t>
      </w:r>
      <w:r>
        <w:rPr>
          <w:rFonts w:ascii="Calibri" w:hAnsi="Calibri" w:cs="Calibri"/>
          <w:lang w:val="hr-HR"/>
        </w:rPr>
        <w:t>Velikoj Britaniji (Londonski fond za energetsku učinkovitost</w:t>
      </w:r>
      <w:r w:rsidRPr="0059781F">
        <w:rPr>
          <w:rFonts w:ascii="Calibri" w:hAnsi="Calibri" w:cs="Calibri"/>
          <w:lang w:val="hr-HR"/>
        </w:rPr>
        <w:t>-</w:t>
      </w:r>
      <w:r w:rsidRPr="00F030D3">
        <w:rPr>
          <w:rFonts w:ascii="Calibri" w:hAnsi="Calibri" w:cs="Calibri"/>
          <w:lang w:val="hr-HR"/>
        </w:rPr>
        <w:t xml:space="preserve"> </w:t>
      </w:r>
      <w:hyperlink r:id="rId13" w:history="1">
        <w:r w:rsidRPr="00F030D3">
          <w:rPr>
            <w:rFonts w:ascii="Calibri" w:hAnsi="Calibri" w:cs="Calibri"/>
            <w:color w:val="0000FF"/>
            <w:sz w:val="18"/>
            <w:szCs w:val="18"/>
            <w:u w:val="single"/>
            <w:lang w:val="hr-HR"/>
          </w:rPr>
          <w:t>http://www.leef.co.uk/</w:t>
        </w:r>
      </w:hyperlink>
      <w:r w:rsidRPr="00F030D3">
        <w:rPr>
          <w:rFonts w:ascii="Calibri" w:hAnsi="Calibri" w:cs="Calibri"/>
          <w:sz w:val="18"/>
          <w:szCs w:val="18"/>
          <w:lang w:val="hr-HR"/>
        </w:rPr>
        <w:t xml:space="preserve"> </w:t>
      </w:r>
      <w:r w:rsidRPr="002F4D3C">
        <w:rPr>
          <w:rFonts w:ascii="Calibri" w:hAnsi="Calibri" w:cs="Calibri"/>
          <w:lang w:val="hr-HR"/>
        </w:rPr>
        <w:t xml:space="preserve">). Oba se primjera odnose </w:t>
      </w:r>
      <w:r>
        <w:rPr>
          <w:rFonts w:ascii="Calibri" w:hAnsi="Calibri" w:cs="Calibri"/>
          <w:lang w:val="hr-HR"/>
        </w:rPr>
        <w:t xml:space="preserve">na financiranje iz </w:t>
      </w:r>
      <w:r w:rsidRPr="0023159B">
        <w:rPr>
          <w:rFonts w:ascii="Calibri" w:hAnsi="Calibri" w:cs="Calibri"/>
          <w:lang w:val="hr-HR"/>
        </w:rPr>
        <w:t>holding fond</w:t>
      </w:r>
      <w:r>
        <w:rPr>
          <w:rFonts w:ascii="Calibri" w:hAnsi="Calibri" w:cs="Calibri"/>
          <w:lang w:val="hr-HR"/>
        </w:rPr>
        <w:t xml:space="preserve">a u okviru JESSICA-e, no podržavaju i šire portfelje za ulaganja u energetsku učinkovitost, poput ulaganja u projekte vezane uz javni prijevoz i privatni sektor. Što se tiče projekata vezanih uz energetsku učinkovitost zgrada u javnom sektoru, najčešće se provode kako bi se, uz pomoć društva za energetske usluge (eng. ESCO), osigurala </w:t>
      </w:r>
      <w:r w:rsidRPr="009E6109">
        <w:rPr>
          <w:rFonts w:ascii="Calibri" w:hAnsi="Calibri" w:cs="Calibri"/>
          <w:lang w:val="hr-HR"/>
        </w:rPr>
        <w:t xml:space="preserve">tržišna vrijednost </w:t>
      </w:r>
      <w:r>
        <w:rPr>
          <w:rFonts w:ascii="Calibri" w:hAnsi="Calibri" w:cs="Calibri"/>
          <w:lang w:val="hr-HR"/>
        </w:rPr>
        <w:t>ili podrška pri dobivanju povoljnijeg zajma.</w:t>
      </w:r>
    </w:p>
    <w:p w14:paraId="0D37D7C3" w14:textId="77777777" w:rsidR="00132E7D" w:rsidRDefault="00132E7D" w:rsidP="00F030D3">
      <w:pPr>
        <w:spacing w:before="40" w:after="40" w:line="300" w:lineRule="auto"/>
        <w:rPr>
          <w:rFonts w:ascii="Calibri" w:hAnsi="Calibri" w:cs="Calibri"/>
          <w:lang w:val="hr-HR"/>
        </w:rPr>
      </w:pPr>
      <w:r w:rsidRPr="009E6109">
        <w:rPr>
          <w:rFonts w:ascii="Calibri" w:hAnsi="Calibri" w:cs="Calibri"/>
          <w:lang w:val="hr-HR"/>
        </w:rPr>
        <w:t xml:space="preserve">Društva za energetske usluge privatna su društva koja </w:t>
      </w:r>
      <w:r>
        <w:rPr>
          <w:rFonts w:ascii="Calibri" w:hAnsi="Calibri" w:cs="Calibri"/>
          <w:lang w:val="hr-HR"/>
        </w:rPr>
        <w:t>sklapaju partner</w:t>
      </w:r>
      <w:r w:rsidRPr="009E6109">
        <w:rPr>
          <w:rFonts w:ascii="Calibri" w:hAnsi="Calibri" w:cs="Calibri"/>
          <w:lang w:val="hr-HR"/>
        </w:rPr>
        <w:t>stva s</w:t>
      </w:r>
      <w:r>
        <w:rPr>
          <w:rFonts w:ascii="Calibri" w:hAnsi="Calibri" w:cs="Calibri"/>
          <w:lang w:val="hr-HR"/>
        </w:rPr>
        <w:t xml:space="preserve"> vlasnicima ili upraviteljima zgrada u javnom sektoru u cilju pružanja čitavog niza usluga vezanih uz energetsku obnovu i održavanje, uključujući uvođenje metoda i tehnologija usmjerenih smanjivanju potrošnje energije i/ili zamjeni fosilnih goriva obnovljivim izvorima energije, kao i pružanja potrebne financijske potpore i jamstava. Društva za energetske usluge najčešće naplaćuju usluge kojima se ostvaruje ušteda energije na temelju ugovora o energetskom učinku (eng. EPC). Ugovor o energetskom učinku je ugovorni sporazum između javnog partnera i subjekta koji provodi mjere za poboljšanje energetske učinkovitosti (u pravilu – društvo za energetske usluge), pri čemu se naplata usluga vrši na </w:t>
      </w:r>
      <w:r w:rsidRPr="009909CC">
        <w:rPr>
          <w:rFonts w:ascii="Calibri" w:hAnsi="Calibri" w:cs="Calibri"/>
          <w:lang w:val="hr-HR"/>
        </w:rPr>
        <w:t>temelju zajamčene razine poboljšanja energetske učinkovitosti i smanjenja energetskih troškova. Javni partner ovim</w:t>
      </w:r>
      <w:r>
        <w:rPr>
          <w:rFonts w:ascii="Calibri" w:hAnsi="Calibri" w:cs="Calibri"/>
          <w:lang w:val="hr-HR"/>
        </w:rPr>
        <w:t>e</w:t>
      </w:r>
      <w:r w:rsidRPr="009909CC">
        <w:rPr>
          <w:rFonts w:ascii="Calibri" w:hAnsi="Calibri" w:cs="Calibri"/>
          <w:lang w:val="hr-HR"/>
        </w:rPr>
        <w:t xml:space="preserve"> od privatnog partnera ne traži proizvode ili usluge</w:t>
      </w:r>
      <w:r w:rsidRPr="009909CC">
        <w:rPr>
          <w:rFonts w:ascii="Calibri" w:hAnsi="Calibri" w:cs="Calibri"/>
          <w:vertAlign w:val="superscript"/>
          <w:lang w:val="hr-HR"/>
        </w:rPr>
        <w:footnoteReference w:id="13"/>
      </w:r>
      <w:r>
        <w:rPr>
          <w:rFonts w:ascii="Calibri" w:hAnsi="Calibri" w:cs="Calibri"/>
          <w:lang w:val="hr-HR"/>
        </w:rPr>
        <w:t>, već točno određen</w:t>
      </w:r>
      <w:r w:rsidRPr="009909CC">
        <w:rPr>
          <w:rFonts w:ascii="Calibri" w:hAnsi="Calibri" w:cs="Calibri"/>
          <w:lang w:val="hr-HR"/>
        </w:rPr>
        <w:t xml:space="preserve"> rezultat (npr. uštedu energiju u kw/h)</w:t>
      </w:r>
      <w:r>
        <w:rPr>
          <w:rFonts w:ascii="Calibri" w:hAnsi="Calibri" w:cs="Calibri"/>
          <w:lang w:val="hr-HR"/>
        </w:rPr>
        <w:t>,</w:t>
      </w:r>
      <w:r w:rsidRPr="009909CC">
        <w:rPr>
          <w:rFonts w:ascii="Calibri" w:hAnsi="Calibri" w:cs="Calibri"/>
          <w:lang w:val="hr-HR"/>
        </w:rPr>
        <w:t xml:space="preserve"> uz zajedničku podjelu rizika.</w:t>
      </w:r>
    </w:p>
    <w:p w14:paraId="325D15B4" w14:textId="77777777" w:rsidR="00132E7D" w:rsidRPr="009909CC" w:rsidRDefault="00132E7D" w:rsidP="00F030D3">
      <w:pPr>
        <w:spacing w:before="40" w:after="40" w:line="300" w:lineRule="auto"/>
        <w:rPr>
          <w:rFonts w:ascii="Calibri" w:hAnsi="Calibri" w:cs="Calibri"/>
          <w:lang w:val="hr-HR"/>
        </w:rPr>
      </w:pPr>
      <w:r>
        <w:rPr>
          <w:rFonts w:ascii="Calibri" w:hAnsi="Calibri" w:cs="Calibri"/>
          <w:lang w:val="hr-HR"/>
        </w:rPr>
        <w:t>Primjeri iz Španjolske i Londona odnose se na zemlje s iznimno razvijenim tržištem za pružatelje energetskih usluga, a oba uključuju i angažman timova za tehničku potporu koji u okviru financijskog instrumenta ELENA</w:t>
      </w:r>
      <w:r>
        <w:rPr>
          <w:rStyle w:val="FootnoteReference"/>
          <w:rFonts w:ascii="Calibri" w:hAnsi="Calibri" w:cs="Calibri"/>
        </w:rPr>
        <w:footnoteReference w:id="14"/>
      </w:r>
      <w:r>
        <w:rPr>
          <w:rFonts w:ascii="Calibri" w:hAnsi="Calibri" w:cs="Calibri"/>
          <w:lang w:val="hr-HR"/>
        </w:rPr>
        <w:t xml:space="preserve"> pružaju stručne savjete i potporu lokalnim tijelima, sveučilištima i bolničkim ustanovama u provedbi studija održivosti, sklapanju partnerstava s društvima za energetske usluge i izradi zahtjeva za financiranje. ELENA je nastala 2009. u sklopu Komisijinog programa Inteligentna energija u Europi (eng. IEE) u svrhu osiguravanja sredstava (do 90% </w:t>
      </w:r>
      <w:r w:rsidRPr="007C15C0">
        <w:rPr>
          <w:rFonts w:ascii="Calibri" w:hAnsi="Calibri" w:cs="Calibri"/>
          <w:lang w:val="hr-HR"/>
        </w:rPr>
        <w:t xml:space="preserve">prihvatljivih </w:t>
      </w:r>
      <w:r>
        <w:rPr>
          <w:rFonts w:ascii="Calibri" w:hAnsi="Calibri" w:cs="Calibri"/>
          <w:lang w:val="hr-HR"/>
        </w:rPr>
        <w:t xml:space="preserve">izdataka) za tehničku potporu lokalnih i regionalnim tijelima u razvoju i realizaciji ulaganja u održive izvore energije. Međunarodne financijske institucije poput Europske investicijske banke, razvojne banke KfW i Europske banke za obnovu i razvoj aktivno sudjeluju u aktivnostima vezanim uz ELENA-u. </w:t>
      </w:r>
    </w:p>
    <w:p w14:paraId="38166745" w14:textId="77777777" w:rsidR="00132E7D" w:rsidRPr="009909CC" w:rsidRDefault="00132E7D" w:rsidP="00F030D3">
      <w:pPr>
        <w:spacing w:before="40" w:after="40" w:line="300" w:lineRule="auto"/>
        <w:rPr>
          <w:rFonts w:ascii="Calibri" w:hAnsi="Calibri" w:cs="Calibri"/>
          <w:lang w:val="hr-HR"/>
        </w:rPr>
      </w:pPr>
      <w:r>
        <w:rPr>
          <w:rFonts w:ascii="Calibri" w:hAnsi="Calibri" w:cs="Calibri"/>
          <w:lang w:val="hr-HR"/>
        </w:rPr>
        <w:t>Nadalje, vodeće međunarodne financijske institucije društvima za energetske usluge odobravaju povoljnije uvjete financiranja neovisno o financijskim instrumentima EU-a, u okviru ELENA-e kao i izvan njega. Primjerice, Europska banka za obnovu i razvoj sve češće financira društva za energetske usluge u novim zemljama članicama te je nedavno zaključila ugovore o dugoročnim zajmovima i paketima jamstava izravno s društvima za energetske usluge u Češkoj, Rumunjskoj i Bugarskoj. Ovaj je tip izravnih aktivnosti međunarodnih financijskih institucija uobičajeniji u zemljama u kojima je tržište za pružatelje energetskih usluga slabije razvijeno, a može se kombinirati i s bespovratnim potporama iz operativnih programa koje financira EU.</w:t>
      </w:r>
    </w:p>
    <w:p w14:paraId="4E84837A" w14:textId="77777777" w:rsidR="00132E7D" w:rsidRPr="00F030D3" w:rsidRDefault="00132E7D" w:rsidP="00F030D3">
      <w:pPr>
        <w:spacing w:before="40" w:after="40" w:line="300" w:lineRule="auto"/>
        <w:rPr>
          <w:rFonts w:ascii="Calibri" w:hAnsi="Calibri" w:cs="Calibri"/>
          <w:lang w:val="hr-HR" w:eastAsia="en-GB"/>
        </w:rPr>
      </w:pPr>
      <w:r w:rsidRPr="00D77BA8">
        <w:rPr>
          <w:rFonts w:ascii="Calibri" w:hAnsi="Calibri" w:cs="Calibri"/>
          <w:lang w:val="hr-HR" w:eastAsia="en-GB"/>
        </w:rPr>
        <w:lastRenderedPageBreak/>
        <w:t xml:space="preserve">Hrvatsko tržište pružatelja energetskih usluga </w:t>
      </w:r>
      <w:r>
        <w:rPr>
          <w:rFonts w:ascii="Calibri" w:hAnsi="Calibri" w:cs="Calibri"/>
          <w:lang w:val="hr-HR" w:eastAsia="en-GB"/>
        </w:rPr>
        <w:t>još je u ranoj fazi razvoja te na njemu trenutačno djeluje samo jedno društvo za energetske usluge</w:t>
      </w:r>
      <w:r w:rsidRPr="00CA483E">
        <w:rPr>
          <w:rFonts w:ascii="Calibri" w:hAnsi="Calibri" w:cs="Calibri"/>
          <w:vertAlign w:val="superscript"/>
          <w:lang w:eastAsia="en-GB"/>
        </w:rPr>
        <w:footnoteReference w:id="15"/>
      </w:r>
      <w:r w:rsidRPr="00F030D3">
        <w:rPr>
          <w:rFonts w:ascii="Calibri" w:hAnsi="Calibri" w:cs="Calibri"/>
          <w:lang w:val="hr-HR" w:eastAsia="en-GB"/>
        </w:rPr>
        <w:t>.</w:t>
      </w:r>
      <w:r>
        <w:rPr>
          <w:rFonts w:ascii="Calibri" w:hAnsi="Calibri" w:cs="Calibri"/>
          <w:lang w:val="hr-HR" w:eastAsia="en-GB"/>
        </w:rPr>
        <w:t xml:space="preserve"> Sudionici međunarodne konferencije koja je, u suorganizaciji inicijative ManagEnergy koja se financira u sklopu programa IEE, održana u ožujku 2013. godine u Koprivnici u svrhu podizanja razine osviještenosti, ustvrdili su da je, bez obzira na uočeni potencijal za širu primjenu modela ugovaranja energetskog učinka u Hrvatskoj, najprije potrebno riješiti probleme vezane uz nedostatak znanja, nepouzdanost podataka i skeptičan stav prema društvima za energetske usluge.</w:t>
      </w:r>
    </w:p>
    <w:p w14:paraId="4CB4CF1D" w14:textId="77777777" w:rsidR="00132E7D" w:rsidRPr="00F030D3" w:rsidRDefault="00132E7D" w:rsidP="00F030D3">
      <w:pPr>
        <w:spacing w:before="40" w:after="40" w:line="300" w:lineRule="auto"/>
        <w:rPr>
          <w:rFonts w:ascii="Calibri" w:hAnsi="Calibri" w:cs="Calibri"/>
          <w:lang w:val="hr-HR" w:eastAsia="en-GB"/>
        </w:rPr>
      </w:pPr>
    </w:p>
    <w:p w14:paraId="4F7A65AC" w14:textId="77777777" w:rsidR="00132E7D" w:rsidRPr="00CF2B98" w:rsidRDefault="00132E7D" w:rsidP="00F030D3">
      <w:pPr>
        <w:pStyle w:val="14-Heading2"/>
        <w:spacing w:before="40" w:after="40" w:line="300" w:lineRule="auto"/>
        <w:rPr>
          <w:sz w:val="22"/>
          <w:szCs w:val="22"/>
          <w:lang w:val="hr-HR"/>
        </w:rPr>
      </w:pPr>
      <w:bookmarkStart w:id="14" w:name="_Toc394052281"/>
      <w:r w:rsidRPr="00CF2B98">
        <w:rPr>
          <w:sz w:val="22"/>
          <w:szCs w:val="22"/>
          <w:lang w:val="hr-HR"/>
        </w:rPr>
        <w:t>5.2 Potpora poboljšanju energetske učinkovitosti stambenih zgrada</w:t>
      </w:r>
      <w:bookmarkEnd w:id="14"/>
      <w:r w:rsidRPr="00CF2B98">
        <w:rPr>
          <w:sz w:val="22"/>
          <w:szCs w:val="22"/>
          <w:lang w:val="hr-HR"/>
        </w:rPr>
        <w:t xml:space="preserve"> </w:t>
      </w:r>
    </w:p>
    <w:p w14:paraId="259B6508" w14:textId="77777777" w:rsidR="00132E7D" w:rsidRDefault="00132E7D" w:rsidP="00F030D3">
      <w:pPr>
        <w:spacing w:before="40" w:after="40" w:line="300" w:lineRule="auto"/>
        <w:rPr>
          <w:rFonts w:ascii="Calibri" w:hAnsi="Calibri" w:cs="Calibri"/>
          <w:lang w:val="hr-HR"/>
        </w:rPr>
      </w:pPr>
      <w:r>
        <w:rPr>
          <w:rFonts w:ascii="Calibri" w:hAnsi="Calibri" w:cs="Calibri"/>
          <w:lang w:val="hr-HR"/>
        </w:rPr>
        <w:t>Studija Zajedničkog istraživačkog centra utvrdila je da moguće prepreke uspješnim ulaganjima u energetsku učinkovitost u stambenom sektoru uključuju nejasno definirane odnose između vlasnika i stanara i pitanja</w:t>
      </w:r>
      <w:r w:rsidRPr="00A77F9B">
        <w:rPr>
          <w:rFonts w:ascii="Calibri" w:hAnsi="Calibri" w:cs="Calibri"/>
          <w:lang w:val="hr-HR"/>
        </w:rPr>
        <w:t xml:space="preserve"> </w:t>
      </w:r>
      <w:r>
        <w:rPr>
          <w:rFonts w:ascii="Calibri" w:hAnsi="Calibri" w:cs="Calibri"/>
          <w:lang w:val="hr-HR"/>
        </w:rPr>
        <w:t xml:space="preserve">o vlasništvu zgrade, nejasnoće u pogledu pravnog statusa udruga vlasnika stanova te otežano donošenje odluka uslijed velikog broja donositelja. Također se spominje i uobičajeni nedostatak potpore banaka i drugih financijskih institucija sveobuhvatnim intervencijama na stambenim zgradama. No, ovdje valja spomenuti da nezanemarivi broj postojećih financijskih instrumenata u državama članicama promiče ulaganja u stambene zgrade. Dva takva uspješna primjera možemo naći u novim državama članicama – Estoniji i Litvi.  </w:t>
      </w:r>
    </w:p>
    <w:p w14:paraId="557FACCF" w14:textId="77777777" w:rsidR="00132E7D" w:rsidRDefault="00132E7D" w:rsidP="00F030D3">
      <w:pPr>
        <w:spacing w:before="40" w:after="40" w:line="300" w:lineRule="auto"/>
        <w:rPr>
          <w:rFonts w:ascii="Calibri" w:hAnsi="Calibri" w:cs="Calibri"/>
          <w:lang w:val="hr-HR"/>
        </w:rPr>
      </w:pPr>
      <w:r>
        <w:rPr>
          <w:rFonts w:ascii="Calibri" w:hAnsi="Calibri" w:cs="Calibri"/>
          <w:lang w:val="hr-HR"/>
        </w:rPr>
        <w:t xml:space="preserve">Estonski Kreditni fond za obnovu stambenih zgrada prvi je fond te vrste osnovan uz pomoć sredstava iz fondova EU-a. Fondom, koji raspolaže s 49 milijuna eura, upravlja KredEx, državni neprofitni jamstveni fond. Osnovan je 2009. uz financijsku potporu Europskog fonda za regionalni razvoj u iznosu od 17 milijuna eura, pozajmicu Razvojne banke Vijeća Europe te više od 63 milijuna eura koje je osigurao KredEx. Sredstva su kroz osam tranši prebačena u dvije lokalne banke, koje udrugama stanara odobravaju zajmove za poboljšavanje toplinske učinkovitosti odabranih zgrada. Projekti mogu uključivati razne vrste radova, poput postavljanja izolacije, zamjene prozora i vrata, zamjene/modernizacije sustava grijanja, uvođenja novih, obnovljivih izvora energije i slično. </w:t>
      </w:r>
    </w:p>
    <w:p w14:paraId="1E15774A" w14:textId="77777777" w:rsidR="00132E7D" w:rsidRPr="00A41853" w:rsidRDefault="00132E7D" w:rsidP="00F030D3">
      <w:pPr>
        <w:spacing w:before="40" w:after="40" w:line="300" w:lineRule="auto"/>
        <w:rPr>
          <w:rFonts w:ascii="Calibri" w:hAnsi="Calibri" w:cs="Calibri"/>
          <w:lang w:val="hr-HR"/>
        </w:rPr>
      </w:pPr>
      <w:r>
        <w:rPr>
          <w:rFonts w:ascii="Calibri" w:hAnsi="Calibri" w:cs="Calibri"/>
          <w:lang w:val="hr-HR"/>
        </w:rPr>
        <w:t>Uvjeti kreditiranja estonskog fonda:</w:t>
      </w:r>
    </w:p>
    <w:p w14:paraId="388E0F8D" w14:textId="77777777" w:rsidR="00132E7D" w:rsidRPr="00A41853" w:rsidRDefault="00132E7D" w:rsidP="00F030D3">
      <w:pPr>
        <w:numPr>
          <w:ilvl w:val="0"/>
          <w:numId w:val="32"/>
        </w:numPr>
        <w:spacing w:before="40" w:after="40" w:line="300" w:lineRule="auto"/>
        <w:ind w:left="714" w:hanging="357"/>
        <w:rPr>
          <w:rFonts w:ascii="Calibri" w:hAnsi="Calibri" w:cs="Calibri"/>
          <w:lang w:val="hr-HR"/>
        </w:rPr>
      </w:pPr>
      <w:r w:rsidRPr="00A41853">
        <w:rPr>
          <w:rFonts w:ascii="Calibri" w:hAnsi="Calibri" w:cs="Calibri"/>
          <w:lang w:val="hr-HR"/>
        </w:rPr>
        <w:t>samofinanciranje: 15%</w:t>
      </w:r>
    </w:p>
    <w:p w14:paraId="3CF75A82" w14:textId="77777777" w:rsidR="00132E7D" w:rsidRPr="00A41853" w:rsidRDefault="00132E7D" w:rsidP="00F030D3">
      <w:pPr>
        <w:numPr>
          <w:ilvl w:val="0"/>
          <w:numId w:val="32"/>
        </w:numPr>
        <w:spacing w:before="40" w:after="40" w:line="300" w:lineRule="auto"/>
        <w:ind w:left="714" w:hanging="357"/>
        <w:rPr>
          <w:rFonts w:ascii="Calibri" w:hAnsi="Calibri" w:cs="Calibri"/>
          <w:lang w:val="hr-HR"/>
        </w:rPr>
      </w:pPr>
      <w:r>
        <w:rPr>
          <w:rFonts w:ascii="Calibri" w:hAnsi="Calibri" w:cs="Calibri"/>
          <w:lang w:val="hr-HR"/>
        </w:rPr>
        <w:t>trajanje</w:t>
      </w:r>
      <w:r w:rsidRPr="00A41853">
        <w:rPr>
          <w:rFonts w:ascii="Calibri" w:hAnsi="Calibri" w:cs="Calibri"/>
          <w:lang w:val="hr-HR"/>
        </w:rPr>
        <w:t>: do 20 godina</w:t>
      </w:r>
    </w:p>
    <w:p w14:paraId="7857EF3C" w14:textId="77777777" w:rsidR="00132E7D" w:rsidRPr="00A41853" w:rsidRDefault="00132E7D" w:rsidP="00F030D3">
      <w:pPr>
        <w:numPr>
          <w:ilvl w:val="0"/>
          <w:numId w:val="32"/>
        </w:numPr>
        <w:spacing w:before="40" w:after="40" w:line="300" w:lineRule="auto"/>
        <w:ind w:left="714" w:hanging="357"/>
        <w:rPr>
          <w:rFonts w:ascii="Calibri" w:hAnsi="Calibri" w:cs="Calibri"/>
          <w:lang w:val="hr-HR"/>
        </w:rPr>
      </w:pPr>
      <w:r w:rsidRPr="00A41853">
        <w:rPr>
          <w:rFonts w:ascii="Calibri" w:hAnsi="Calibri" w:cs="Calibri"/>
          <w:lang w:val="hr-HR"/>
        </w:rPr>
        <w:t xml:space="preserve">kamata: </w:t>
      </w:r>
      <w:r>
        <w:rPr>
          <w:rFonts w:ascii="Calibri" w:hAnsi="Calibri" w:cs="Calibri"/>
          <w:lang w:val="hr-HR"/>
        </w:rPr>
        <w:t>do</w:t>
      </w:r>
      <w:r w:rsidRPr="00A41853">
        <w:rPr>
          <w:rFonts w:ascii="Calibri" w:hAnsi="Calibri" w:cs="Calibri"/>
          <w:lang w:val="hr-HR"/>
        </w:rPr>
        <w:t xml:space="preserve"> 4</w:t>
      </w:r>
      <w:r>
        <w:rPr>
          <w:rFonts w:ascii="Calibri" w:hAnsi="Calibri" w:cs="Calibri"/>
          <w:lang w:val="hr-HR"/>
        </w:rPr>
        <w:t>,</w:t>
      </w:r>
      <w:r w:rsidRPr="00A41853">
        <w:rPr>
          <w:rFonts w:ascii="Calibri" w:hAnsi="Calibri" w:cs="Calibri"/>
          <w:lang w:val="hr-HR"/>
        </w:rPr>
        <w:t>2%, fi</w:t>
      </w:r>
      <w:r>
        <w:rPr>
          <w:rFonts w:ascii="Calibri" w:hAnsi="Calibri" w:cs="Calibri"/>
          <w:lang w:val="hr-HR"/>
        </w:rPr>
        <w:t>ksna prvih deset godina</w:t>
      </w:r>
      <w:r w:rsidRPr="00A41853">
        <w:rPr>
          <w:rFonts w:ascii="Calibri" w:hAnsi="Calibri" w:cs="Calibri"/>
          <w:lang w:val="hr-HR"/>
        </w:rPr>
        <w:t xml:space="preserve"> (</w:t>
      </w:r>
      <w:r>
        <w:rPr>
          <w:rFonts w:ascii="Calibri" w:hAnsi="Calibri" w:cs="Calibri"/>
          <w:lang w:val="hr-HR"/>
        </w:rPr>
        <w:t xml:space="preserve">u usporedbi s </w:t>
      </w:r>
      <w:r w:rsidRPr="00A41853">
        <w:rPr>
          <w:rFonts w:ascii="Calibri" w:hAnsi="Calibri" w:cs="Calibri"/>
          <w:lang w:val="hr-HR"/>
        </w:rPr>
        <w:t xml:space="preserve">7-10% </w:t>
      </w:r>
      <w:r>
        <w:rPr>
          <w:rFonts w:ascii="Calibri" w:hAnsi="Calibri" w:cs="Calibri"/>
          <w:lang w:val="hr-HR"/>
        </w:rPr>
        <w:t>za kreditiranje poslovnih subjekata</w:t>
      </w:r>
      <w:r w:rsidRPr="00A41853">
        <w:rPr>
          <w:rFonts w:ascii="Calibri" w:hAnsi="Calibri" w:cs="Calibri"/>
          <w:lang w:val="hr-HR"/>
        </w:rPr>
        <w:t>)</w:t>
      </w:r>
    </w:p>
    <w:p w14:paraId="6081D1F9" w14:textId="77777777" w:rsidR="00132E7D" w:rsidRPr="00A41853" w:rsidRDefault="00132E7D" w:rsidP="00F030D3">
      <w:pPr>
        <w:numPr>
          <w:ilvl w:val="0"/>
          <w:numId w:val="32"/>
        </w:numPr>
        <w:spacing w:before="40" w:after="40" w:line="300" w:lineRule="auto"/>
        <w:rPr>
          <w:rFonts w:ascii="Calibri" w:hAnsi="Calibri" w:cs="Calibri"/>
          <w:lang w:val="hr-HR"/>
        </w:rPr>
      </w:pPr>
      <w:r>
        <w:rPr>
          <w:rFonts w:ascii="Calibri" w:hAnsi="Calibri" w:cs="Calibri"/>
          <w:lang w:val="hr-HR"/>
        </w:rPr>
        <w:t>jamstvo</w:t>
      </w:r>
      <w:r w:rsidRPr="00A41853">
        <w:rPr>
          <w:rFonts w:ascii="Calibri" w:hAnsi="Calibri" w:cs="Calibri"/>
          <w:lang w:val="hr-HR"/>
        </w:rPr>
        <w:t xml:space="preserve">: </w:t>
      </w:r>
      <w:r>
        <w:rPr>
          <w:rFonts w:ascii="Calibri" w:hAnsi="Calibri" w:cs="Calibri"/>
          <w:lang w:val="hr-HR"/>
        </w:rPr>
        <w:t xml:space="preserve">nije potrebno, s obzirom da se zajam daje </w:t>
      </w:r>
      <w:r w:rsidRPr="005369CA">
        <w:rPr>
          <w:rFonts w:ascii="Calibri" w:hAnsi="Calibri" w:cs="Calibri"/>
          <w:lang w:val="hr-HR"/>
        </w:rPr>
        <w:t xml:space="preserve">u odnosu na </w:t>
      </w:r>
      <w:r w:rsidRPr="00BF66EB">
        <w:rPr>
          <w:rFonts w:ascii="Calibri" w:hAnsi="Calibri" w:cs="Calibri"/>
          <w:lang w:val="hr-HR"/>
        </w:rPr>
        <w:t xml:space="preserve">tok novca </w:t>
      </w:r>
      <w:r w:rsidRPr="00A41853">
        <w:rPr>
          <w:rFonts w:ascii="Calibri" w:hAnsi="Calibri" w:cs="Calibri"/>
          <w:lang w:val="hr-HR"/>
        </w:rPr>
        <w:t>(</w:t>
      </w:r>
      <w:r>
        <w:rPr>
          <w:rFonts w:ascii="Calibri" w:hAnsi="Calibri" w:cs="Calibri"/>
          <w:lang w:val="hr-HR"/>
        </w:rPr>
        <w:t>u slučaju višeg stupnja rizika banka može iskoristiti jamstvo</w:t>
      </w:r>
      <w:r w:rsidRPr="00A41853">
        <w:rPr>
          <w:rFonts w:ascii="Calibri" w:hAnsi="Calibri" w:cs="Calibri"/>
          <w:lang w:val="hr-HR"/>
        </w:rPr>
        <w:t xml:space="preserve"> </w:t>
      </w:r>
      <w:r>
        <w:rPr>
          <w:rFonts w:ascii="Calibri" w:hAnsi="Calibri" w:cs="Calibri"/>
          <w:lang w:val="hr-HR"/>
        </w:rPr>
        <w:t>fonda</w:t>
      </w:r>
      <w:r w:rsidRPr="00A41853">
        <w:rPr>
          <w:rFonts w:ascii="Calibri" w:hAnsi="Calibri" w:cs="Calibri"/>
          <w:lang w:val="hr-HR"/>
        </w:rPr>
        <w:t xml:space="preserve"> KredEx)</w:t>
      </w:r>
      <w:r>
        <w:rPr>
          <w:rFonts w:ascii="Calibri" w:hAnsi="Calibri" w:cs="Calibri"/>
          <w:lang w:val="hr-HR"/>
        </w:rPr>
        <w:t>.</w:t>
      </w:r>
    </w:p>
    <w:p w14:paraId="6F611CFD" w14:textId="77777777" w:rsidR="00132E7D" w:rsidRPr="00A41853" w:rsidRDefault="00132E7D" w:rsidP="00F030D3">
      <w:pPr>
        <w:spacing w:before="40" w:after="40" w:line="300" w:lineRule="auto"/>
        <w:rPr>
          <w:rFonts w:ascii="Calibri" w:hAnsi="Calibri" w:cs="Calibri"/>
          <w:lang w:val="hr-HR"/>
        </w:rPr>
      </w:pPr>
      <w:r>
        <w:rPr>
          <w:rFonts w:ascii="Calibri" w:hAnsi="Calibri" w:cs="Calibri"/>
          <w:lang w:val="hr-HR"/>
        </w:rPr>
        <w:t xml:space="preserve">Svi stanari u stambenim zgradama moraju se usuglasiti oko ulaganja u obnovu zgrade. Iako to na samom početku postupka ulaganja predstavlja najtežu prepreku, KredEx može financirati 50% troškova predstojećih (obveznih) provjera energetske učinkovitosti i izradu građevinske dokumentacije. Otplata zajma često je moguća iz sredstava koje su stanari uštedjeli plaćanjem nižih računa za potrošnju energije. </w:t>
      </w:r>
    </w:p>
    <w:p w14:paraId="7BA20673" w14:textId="7401B4F7" w:rsidR="00132E7D" w:rsidRPr="00F20E41" w:rsidRDefault="00132E7D" w:rsidP="00F030D3">
      <w:pPr>
        <w:spacing w:before="40" w:after="40" w:line="300" w:lineRule="auto"/>
        <w:rPr>
          <w:rFonts w:ascii="Calibri" w:hAnsi="Calibri" w:cs="Calibri"/>
          <w:lang w:val="hr-HR"/>
        </w:rPr>
      </w:pPr>
      <w:r>
        <w:rPr>
          <w:rFonts w:ascii="Calibri" w:hAnsi="Calibri" w:cs="Calibri"/>
          <w:lang w:val="hr-HR"/>
        </w:rPr>
        <w:lastRenderedPageBreak/>
        <w:t xml:space="preserve">Ulaganjima se mora postići ukupna ušteda energije od 20% po zgradi, no fond je dosad ostvario ukupnu uštedu energije od 40%. Detaljne informacije o estonskom </w:t>
      </w:r>
      <w:r w:rsidRPr="00F20E41">
        <w:rPr>
          <w:rFonts w:ascii="Calibri" w:hAnsi="Calibri" w:cs="Calibri"/>
          <w:lang w:val="hr-HR"/>
        </w:rPr>
        <w:t>Kreditn</w:t>
      </w:r>
      <w:r>
        <w:rPr>
          <w:rFonts w:ascii="Calibri" w:hAnsi="Calibri" w:cs="Calibri"/>
          <w:lang w:val="hr-HR"/>
        </w:rPr>
        <w:t>om</w:t>
      </w:r>
      <w:r w:rsidRPr="00F20E41">
        <w:rPr>
          <w:rFonts w:ascii="Calibri" w:hAnsi="Calibri" w:cs="Calibri"/>
          <w:lang w:val="hr-HR"/>
        </w:rPr>
        <w:t xml:space="preserve"> fond</w:t>
      </w:r>
      <w:r>
        <w:rPr>
          <w:rFonts w:ascii="Calibri" w:hAnsi="Calibri" w:cs="Calibri"/>
          <w:lang w:val="hr-HR"/>
        </w:rPr>
        <w:t>u</w:t>
      </w:r>
      <w:r w:rsidRPr="00F20E41">
        <w:rPr>
          <w:rFonts w:ascii="Calibri" w:hAnsi="Calibri" w:cs="Calibri"/>
          <w:lang w:val="hr-HR"/>
        </w:rPr>
        <w:t xml:space="preserve"> za </w:t>
      </w:r>
      <w:r>
        <w:rPr>
          <w:rFonts w:ascii="Calibri" w:hAnsi="Calibri" w:cs="Calibri"/>
          <w:lang w:val="hr-HR"/>
        </w:rPr>
        <w:t>obnovu</w:t>
      </w:r>
      <w:r w:rsidRPr="00F20E41">
        <w:rPr>
          <w:rFonts w:ascii="Calibri" w:hAnsi="Calibri" w:cs="Calibri"/>
          <w:lang w:val="hr-HR"/>
        </w:rPr>
        <w:t xml:space="preserve"> stambenih zgrada</w:t>
      </w:r>
      <w:r>
        <w:rPr>
          <w:rFonts w:ascii="Calibri" w:hAnsi="Calibri" w:cs="Calibri"/>
          <w:lang w:val="hr-HR"/>
        </w:rPr>
        <w:t xml:space="preserve"> dostupne su na internetskoj adresi:</w:t>
      </w:r>
      <w:r w:rsidRPr="00A41853">
        <w:rPr>
          <w:rFonts w:ascii="Calibri" w:hAnsi="Calibri" w:cs="Calibri"/>
          <w:lang w:val="hr-HR"/>
        </w:rPr>
        <w:t xml:space="preserve"> </w:t>
      </w:r>
      <w:hyperlink r:id="rId14" w:history="1">
        <w:r w:rsidRPr="00A41853">
          <w:rPr>
            <w:rFonts w:ascii="Calibri" w:hAnsi="Calibri" w:cs="Calibri"/>
            <w:color w:val="0000FF"/>
            <w:sz w:val="18"/>
            <w:szCs w:val="18"/>
            <w:u w:val="single"/>
            <w:lang w:val="hr-HR"/>
          </w:rPr>
          <w:t>http://www.aeidl.eu/en/projects/urban-development/rejuvenating-an-ageing-city.html</w:t>
        </w:r>
      </w:hyperlink>
      <w:r w:rsidRPr="00A41853">
        <w:rPr>
          <w:rFonts w:ascii="Calibri" w:hAnsi="Calibri" w:cs="Calibri"/>
          <w:lang w:val="hr-HR"/>
        </w:rPr>
        <w:t xml:space="preserve">. </w:t>
      </w:r>
      <w:r>
        <w:rPr>
          <w:rFonts w:ascii="Calibri" w:hAnsi="Calibri" w:cs="Calibri"/>
          <w:lang w:val="hr-HR"/>
        </w:rPr>
        <w:t xml:space="preserve">Projekt je predstavljen i na konferenciji </w:t>
      </w:r>
      <w:r w:rsidRPr="00F20E41">
        <w:rPr>
          <w:rFonts w:ascii="Calibri" w:hAnsi="Calibri" w:cs="Calibri"/>
          <w:i/>
          <w:iCs/>
          <w:lang w:val="hr-HR"/>
        </w:rPr>
        <w:t>Sustainable Energy Finance and Investment</w:t>
      </w:r>
      <w:r>
        <w:rPr>
          <w:rFonts w:ascii="Calibri" w:hAnsi="Calibri" w:cs="Calibri"/>
          <w:lang w:val="hr-HR"/>
        </w:rPr>
        <w:t>, održanoj u listopadu 2011. godine u Cavtatu u suradnji s inicijativom Sporazum gradonačelnika.</w:t>
      </w:r>
    </w:p>
    <w:p w14:paraId="11DE6364" w14:textId="77777777" w:rsidR="00132E7D" w:rsidRPr="00DE1E3C" w:rsidRDefault="00132E7D" w:rsidP="00F030D3">
      <w:pPr>
        <w:spacing w:before="40" w:after="40" w:line="300" w:lineRule="auto"/>
        <w:rPr>
          <w:rFonts w:ascii="Calibri" w:hAnsi="Calibri" w:cs="Calibri"/>
          <w:lang w:val="hr-HR"/>
        </w:rPr>
      </w:pPr>
      <w:r w:rsidRPr="00DE1E3C">
        <w:rPr>
          <w:rFonts w:ascii="Calibri" w:hAnsi="Calibri" w:cs="Calibri"/>
          <w:lang w:val="hr-HR"/>
        </w:rPr>
        <w:t xml:space="preserve">Za razliku od estonskog projekta, litavski </w:t>
      </w:r>
      <w:r>
        <w:rPr>
          <w:rFonts w:ascii="Calibri" w:hAnsi="Calibri" w:cs="Calibri"/>
          <w:lang w:val="hr-HR"/>
        </w:rPr>
        <w:t xml:space="preserve">je Fond za energetski učinkovito renoviranje stambenih zgrada osnovan u okviru jednog od </w:t>
      </w:r>
      <w:r w:rsidRPr="0043496F">
        <w:rPr>
          <w:rFonts w:ascii="Calibri" w:hAnsi="Calibri" w:cs="Calibri"/>
          <w:lang w:val="hr-HR"/>
        </w:rPr>
        <w:t>holding fondova</w:t>
      </w:r>
      <w:r>
        <w:rPr>
          <w:rFonts w:ascii="Calibri" w:hAnsi="Calibri" w:cs="Calibri"/>
          <w:lang w:val="hr-HR"/>
        </w:rPr>
        <w:t xml:space="preserve"> kojim upravlja Europska investicijska banka. Taj je fond značajno veći – Europski fond za regionalni razvoj u njega je uložio 227 milijuna eura, dok domaća javna tijela nisu osigurala sredstva. Domaće i skandinavske banke koje odobravaju zajmove privlače subjekte iz privatnog sektora na sudjelovanje u programima fonda.</w:t>
      </w:r>
    </w:p>
    <w:p w14:paraId="1B979F50" w14:textId="77777777" w:rsidR="00132E7D" w:rsidRDefault="00132E7D" w:rsidP="00F030D3">
      <w:pPr>
        <w:tabs>
          <w:tab w:val="left" w:pos="4678"/>
        </w:tabs>
        <w:spacing w:before="40" w:after="40" w:line="300" w:lineRule="auto"/>
        <w:rPr>
          <w:rFonts w:ascii="Calibri" w:hAnsi="Calibri" w:cs="Calibri"/>
          <w:lang w:val="hr-HR"/>
        </w:rPr>
      </w:pPr>
      <w:r>
        <w:rPr>
          <w:rFonts w:ascii="Calibri" w:hAnsi="Calibri" w:cs="Calibri"/>
          <w:lang w:val="hr-HR"/>
        </w:rPr>
        <w:t>Zahtjevi i u</w:t>
      </w:r>
      <w:r w:rsidRPr="007C2ECA">
        <w:rPr>
          <w:rFonts w:ascii="Calibri" w:hAnsi="Calibri" w:cs="Calibri"/>
          <w:lang w:val="hr-HR"/>
        </w:rPr>
        <w:t>vjeti kreditiranja</w:t>
      </w:r>
      <w:r>
        <w:rPr>
          <w:rFonts w:ascii="Calibri" w:hAnsi="Calibri" w:cs="Calibri"/>
          <w:lang w:val="hr-HR"/>
        </w:rPr>
        <w:t xml:space="preserve"> slični su kao i kod estonskog fonda, osim što litavski pruža mogućnost dvogodišnje odgode plaćanja rata dok traju građevinski radovi. Agencija za stanovanje i urbani razvoj osigurava i do 100% iznosa tehničke potpore za izradu procjena i građevinskih nacrta. I ovdje su prisutni problemi vezani uz zahtjev da se svi stanari prije početka radova moraju usuglasiti oko zajma, no također postoji mogućnost da zajam otplaćuje </w:t>
      </w:r>
      <w:r w:rsidRPr="00CB5F68">
        <w:rPr>
          <w:rFonts w:ascii="Calibri" w:hAnsi="Calibri" w:cs="Calibri"/>
          <w:lang w:val="hr-HR"/>
        </w:rPr>
        <w:t>iz sredstava koje su stanari uštedjeli plaćanjem nižih računa za potrošnju energij</w:t>
      </w:r>
      <w:r>
        <w:rPr>
          <w:rFonts w:ascii="Calibri" w:hAnsi="Calibri" w:cs="Calibri"/>
          <w:lang w:val="hr-HR"/>
        </w:rPr>
        <w:t>e. Litavski fond obiteljima s nižim primanjima nudi posebne uvjete kreditiranja te može financirati i do 100% iznosa rate.</w:t>
      </w:r>
    </w:p>
    <w:p w14:paraId="22C78B71" w14:textId="77777777" w:rsidR="00132E7D" w:rsidRDefault="00132E7D">
      <w:pPr>
        <w:jc w:val="left"/>
        <w:rPr>
          <w:rFonts w:ascii="Calibri" w:hAnsi="Calibri" w:cs="Calibri"/>
          <w:lang w:val="hr-HR"/>
        </w:rPr>
      </w:pPr>
      <w:r>
        <w:rPr>
          <w:rFonts w:ascii="Calibri" w:hAnsi="Calibri" w:cs="Calibri"/>
          <w:lang w:val="hr-HR"/>
        </w:rPr>
        <w:br w:type="page"/>
      </w:r>
    </w:p>
    <w:p w14:paraId="5C3D3D8C" w14:textId="77777777" w:rsidR="00132E7D" w:rsidRPr="007C2ECA" w:rsidRDefault="00132E7D" w:rsidP="00F030D3">
      <w:pPr>
        <w:tabs>
          <w:tab w:val="left" w:pos="4678"/>
        </w:tabs>
        <w:spacing w:before="40" w:after="40" w:line="300" w:lineRule="auto"/>
        <w:rPr>
          <w:rFonts w:ascii="Calibri" w:hAnsi="Calibri" w:cs="Calibri"/>
          <w:lang w:val="hr-HR"/>
        </w:rPr>
      </w:pPr>
    </w:p>
    <w:p w14:paraId="346F1959" w14:textId="77777777" w:rsidR="00132E7D" w:rsidRPr="00CA483E" w:rsidRDefault="00675687" w:rsidP="00F030D3">
      <w:pPr>
        <w:spacing w:before="40" w:after="40" w:line="300" w:lineRule="auto"/>
        <w:rPr>
          <w:rFonts w:ascii="Calibri" w:hAnsi="Calibri" w:cs="Calibri"/>
        </w:rPr>
      </w:pPr>
      <w:r w:rsidRPr="00CF2B98">
        <w:rPr>
          <w:rFonts w:ascii="Calibri" w:hAnsi="Calibri" w:cs="Calibri"/>
          <w:noProof/>
          <w:lang w:val="en-US"/>
        </w:rPr>
        <w:drawing>
          <wp:inline distT="0" distB="0" distL="0" distR="0" wp14:anchorId="5FC4131E" wp14:editId="001E4044">
            <wp:extent cx="5012690" cy="3757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2690" cy="3757295"/>
                    </a:xfrm>
                    <a:prstGeom prst="rect">
                      <a:avLst/>
                    </a:prstGeom>
                    <a:noFill/>
                    <a:ln>
                      <a:noFill/>
                    </a:ln>
                  </pic:spPr>
                </pic:pic>
              </a:graphicData>
            </a:graphic>
          </wp:inline>
        </w:drawing>
      </w:r>
    </w:p>
    <w:p w14:paraId="252C3DFB" w14:textId="77777777" w:rsidR="00132E7D" w:rsidRPr="00254C31" w:rsidRDefault="00132E7D" w:rsidP="00F030D3">
      <w:pPr>
        <w:spacing w:before="40" w:after="40" w:line="300" w:lineRule="auto"/>
        <w:jc w:val="left"/>
        <w:rPr>
          <w:rFonts w:ascii="Calibri" w:hAnsi="Calibri" w:cs="Calibri"/>
          <w:sz w:val="18"/>
          <w:szCs w:val="18"/>
          <w:lang w:val="hr-HR"/>
        </w:rPr>
      </w:pPr>
      <w:r w:rsidRPr="00254C31">
        <w:rPr>
          <w:rFonts w:ascii="Calibri" w:hAnsi="Calibri" w:cs="Calibri"/>
          <w:sz w:val="18"/>
          <w:szCs w:val="18"/>
          <w:lang w:val="hr-HR"/>
        </w:rPr>
        <w:t>Izvor – EIB, 2013.,</w:t>
      </w:r>
    </w:p>
    <w:p w14:paraId="2D528713" w14:textId="77777777" w:rsidR="00132E7D" w:rsidRPr="00254C31" w:rsidRDefault="00132E7D" w:rsidP="00F030D3">
      <w:pPr>
        <w:spacing w:before="40" w:after="40" w:line="300" w:lineRule="auto"/>
        <w:jc w:val="left"/>
        <w:rPr>
          <w:rFonts w:ascii="Calibri" w:hAnsi="Calibri" w:cs="Calibri"/>
          <w:sz w:val="16"/>
          <w:szCs w:val="16"/>
          <w:lang w:val="hr-HR"/>
        </w:rPr>
      </w:pPr>
      <w:r w:rsidRPr="00254C31">
        <w:rPr>
          <w:rFonts w:ascii="Calibri" w:hAnsi="Calibri" w:cs="Calibri"/>
          <w:sz w:val="16"/>
          <w:szCs w:val="16"/>
          <w:lang w:val="hr-HR"/>
        </w:rPr>
        <w:t xml:space="preserve">(Jessica u Litvi): </w:t>
      </w:r>
    </w:p>
    <w:p w14:paraId="5214A2EB" w14:textId="77777777" w:rsidR="00132E7D" w:rsidRDefault="00132E7D" w:rsidP="00F030D3">
      <w:pPr>
        <w:spacing w:before="40" w:after="40" w:line="300" w:lineRule="auto"/>
        <w:jc w:val="left"/>
        <w:rPr>
          <w:rFonts w:ascii="Calibri" w:hAnsi="Calibri" w:cs="Calibri"/>
          <w:sz w:val="16"/>
          <w:szCs w:val="16"/>
          <w:lang w:val="hr-HR"/>
        </w:rPr>
      </w:pPr>
      <w:r w:rsidRPr="00254C31">
        <w:rPr>
          <w:rFonts w:ascii="Calibri" w:hAnsi="Calibri" w:cs="Calibri"/>
          <w:sz w:val="16"/>
          <w:szCs w:val="16"/>
          <w:lang w:val="hr-HR"/>
        </w:rPr>
        <w:t xml:space="preserve">Doprinos Ministarstva financija i Ministarstva razvoja </w:t>
      </w:r>
      <w:r>
        <w:rPr>
          <w:rFonts w:ascii="Calibri" w:hAnsi="Calibri" w:cs="Calibri"/>
          <w:sz w:val="16"/>
          <w:szCs w:val="16"/>
          <w:lang w:val="hr-HR"/>
        </w:rPr>
        <w:t xml:space="preserve">u iznosu od 227 milijuna eura iz operativnog programa </w:t>
      </w:r>
      <w:r w:rsidRPr="002A3ADB">
        <w:rPr>
          <w:rFonts w:ascii="Calibri" w:hAnsi="Calibri" w:cs="Calibri"/>
          <w:i/>
          <w:iCs/>
          <w:sz w:val="16"/>
          <w:szCs w:val="16"/>
          <w:lang w:val="hr-HR"/>
        </w:rPr>
        <w:t>Promicanje kohezije 2007. - 2013</w:t>
      </w:r>
      <w:r>
        <w:rPr>
          <w:rFonts w:ascii="Calibri" w:hAnsi="Calibri" w:cs="Calibri"/>
          <w:sz w:val="16"/>
          <w:szCs w:val="16"/>
          <w:lang w:val="hr-HR"/>
        </w:rPr>
        <w:t>.</w:t>
      </w:r>
    </w:p>
    <w:p w14:paraId="7CBAE1FE" w14:textId="77777777" w:rsidR="00132E7D" w:rsidRDefault="00132E7D" w:rsidP="00F030D3">
      <w:pPr>
        <w:spacing w:before="40" w:after="40" w:line="300" w:lineRule="auto"/>
        <w:jc w:val="left"/>
        <w:rPr>
          <w:rFonts w:ascii="Calibri" w:hAnsi="Calibri" w:cs="Calibri"/>
          <w:sz w:val="16"/>
          <w:szCs w:val="16"/>
          <w:lang w:val="hr-HR"/>
        </w:rPr>
      </w:pPr>
      <w:r w:rsidRPr="0036083E">
        <w:rPr>
          <w:rFonts w:ascii="Calibri" w:hAnsi="Calibri" w:cs="Calibri"/>
          <w:sz w:val="16"/>
          <w:szCs w:val="16"/>
          <w:lang w:val="hr-HR"/>
        </w:rPr>
        <w:t xml:space="preserve">Holding </w:t>
      </w:r>
      <w:r>
        <w:rPr>
          <w:rFonts w:ascii="Calibri" w:hAnsi="Calibri" w:cs="Calibri"/>
          <w:sz w:val="16"/>
          <w:szCs w:val="16"/>
          <w:lang w:val="hr-HR"/>
        </w:rPr>
        <w:t>fond u okviru JESSICA-e, kojim upravlja EIB</w:t>
      </w:r>
      <w:r>
        <w:rPr>
          <w:rFonts w:ascii="Calibri" w:hAnsi="Calibri" w:cs="Calibri"/>
          <w:sz w:val="16"/>
          <w:szCs w:val="16"/>
          <w:lang w:val="hr-HR"/>
        </w:rPr>
        <w:tab/>
      </w:r>
      <w:r>
        <w:rPr>
          <w:rFonts w:ascii="Calibri" w:hAnsi="Calibri" w:cs="Calibri"/>
          <w:sz w:val="16"/>
          <w:szCs w:val="16"/>
          <w:lang w:val="hr-HR"/>
        </w:rPr>
        <w:tab/>
        <w:t>Odbor za ulaganja</w:t>
      </w:r>
    </w:p>
    <w:p w14:paraId="287CB833" w14:textId="77777777" w:rsidR="00132E7D" w:rsidRDefault="00132E7D" w:rsidP="00F030D3">
      <w:pPr>
        <w:spacing w:before="40" w:after="40" w:line="300" w:lineRule="auto"/>
        <w:jc w:val="left"/>
        <w:rPr>
          <w:rFonts w:ascii="Calibri" w:hAnsi="Calibri" w:cs="Calibri"/>
          <w:sz w:val="16"/>
          <w:szCs w:val="16"/>
          <w:lang w:val="hr-HR"/>
        </w:rPr>
      </w:pPr>
      <w:r>
        <w:rPr>
          <w:rFonts w:ascii="Calibri" w:hAnsi="Calibri" w:cs="Calibri"/>
          <w:sz w:val="16"/>
          <w:szCs w:val="16"/>
          <w:lang w:val="hr-HR"/>
        </w:rPr>
        <w:t>Potencijalni zajmovi</w:t>
      </w:r>
      <w:r>
        <w:rPr>
          <w:rFonts w:ascii="Calibri" w:hAnsi="Calibri" w:cs="Calibri"/>
          <w:sz w:val="16"/>
          <w:szCs w:val="16"/>
          <w:lang w:val="hr-HR"/>
        </w:rPr>
        <w:tab/>
      </w:r>
      <w:r>
        <w:rPr>
          <w:rFonts w:ascii="Calibri" w:hAnsi="Calibri" w:cs="Calibri"/>
          <w:sz w:val="16"/>
          <w:szCs w:val="16"/>
          <w:lang w:val="hr-HR"/>
        </w:rPr>
        <w:tab/>
        <w:t>Fond za urbani razvoj</w:t>
      </w:r>
    </w:p>
    <w:p w14:paraId="53B337CB" w14:textId="77777777" w:rsidR="00132E7D" w:rsidRDefault="00132E7D" w:rsidP="00F030D3">
      <w:pPr>
        <w:spacing w:before="40" w:after="40" w:line="300" w:lineRule="auto"/>
        <w:jc w:val="left"/>
        <w:rPr>
          <w:rFonts w:ascii="Calibri" w:hAnsi="Calibri" w:cs="Calibri"/>
          <w:sz w:val="16"/>
          <w:szCs w:val="16"/>
          <w:lang w:val="hr-HR"/>
        </w:rPr>
      </w:pPr>
      <w:r>
        <w:rPr>
          <w:rFonts w:ascii="Calibri" w:hAnsi="Calibri" w:cs="Calibri"/>
          <w:sz w:val="16"/>
          <w:szCs w:val="16"/>
          <w:lang w:val="hr-HR"/>
        </w:rPr>
        <w:tab/>
      </w:r>
      <w:r>
        <w:rPr>
          <w:rFonts w:ascii="Calibri" w:hAnsi="Calibri" w:cs="Calibri"/>
          <w:sz w:val="16"/>
          <w:szCs w:val="16"/>
          <w:lang w:val="hr-HR"/>
        </w:rPr>
        <w:tab/>
      </w:r>
      <w:r>
        <w:rPr>
          <w:rFonts w:ascii="Calibri" w:hAnsi="Calibri" w:cs="Calibri"/>
          <w:sz w:val="16"/>
          <w:szCs w:val="16"/>
          <w:lang w:val="hr-HR"/>
        </w:rPr>
        <w:tab/>
        <w:t>Litavske banke:</w:t>
      </w:r>
    </w:p>
    <w:p w14:paraId="1D705A96" w14:textId="77777777" w:rsidR="00132E7D" w:rsidRDefault="00132E7D" w:rsidP="00F030D3">
      <w:pPr>
        <w:spacing w:before="40" w:after="40" w:line="300" w:lineRule="auto"/>
        <w:jc w:val="left"/>
        <w:rPr>
          <w:rFonts w:ascii="Calibri" w:hAnsi="Calibri" w:cs="Calibri"/>
          <w:sz w:val="16"/>
          <w:szCs w:val="16"/>
          <w:lang w:val="hr-HR"/>
        </w:rPr>
      </w:pPr>
      <w:r>
        <w:rPr>
          <w:rFonts w:ascii="Calibri" w:hAnsi="Calibri" w:cs="Calibri"/>
          <w:sz w:val="16"/>
          <w:szCs w:val="16"/>
          <w:lang w:val="hr-HR"/>
        </w:rPr>
        <w:tab/>
      </w:r>
      <w:r>
        <w:rPr>
          <w:rFonts w:ascii="Calibri" w:hAnsi="Calibri" w:cs="Calibri"/>
          <w:sz w:val="16"/>
          <w:szCs w:val="16"/>
          <w:lang w:val="hr-HR"/>
        </w:rPr>
        <w:tab/>
      </w:r>
      <w:r>
        <w:rPr>
          <w:rFonts w:ascii="Calibri" w:hAnsi="Calibri" w:cs="Calibri"/>
          <w:sz w:val="16"/>
          <w:szCs w:val="16"/>
          <w:lang w:val="hr-HR"/>
        </w:rPr>
        <w:tab/>
        <w:t>-zajmovi za modernizaciju objekata</w:t>
      </w:r>
      <w:r>
        <w:rPr>
          <w:rFonts w:ascii="Calibri" w:hAnsi="Calibri" w:cs="Calibri"/>
          <w:sz w:val="16"/>
          <w:szCs w:val="16"/>
          <w:lang w:val="hr-HR"/>
        </w:rPr>
        <w:tab/>
        <w:t>Otplata</w:t>
      </w:r>
    </w:p>
    <w:p w14:paraId="7A4FFF49" w14:textId="77777777" w:rsidR="00132E7D" w:rsidRDefault="00132E7D" w:rsidP="00F030D3">
      <w:pPr>
        <w:spacing w:before="40" w:after="40" w:line="300" w:lineRule="auto"/>
        <w:jc w:val="left"/>
        <w:rPr>
          <w:rFonts w:ascii="Calibri" w:hAnsi="Calibri" w:cs="Calibri"/>
          <w:sz w:val="16"/>
          <w:szCs w:val="16"/>
          <w:lang w:val="hr-HR"/>
        </w:rPr>
      </w:pPr>
      <w:r w:rsidRPr="002436D5">
        <w:rPr>
          <w:rFonts w:ascii="Calibri" w:hAnsi="Calibri" w:cs="Calibri"/>
          <w:b/>
          <w:bCs/>
          <w:sz w:val="16"/>
          <w:szCs w:val="16"/>
          <w:lang w:val="hr-HR"/>
        </w:rPr>
        <w:t>PROJEKTI:</w:t>
      </w:r>
      <w:r w:rsidRPr="002436D5">
        <w:rPr>
          <w:rFonts w:ascii="Calibri" w:hAnsi="Calibri" w:cs="Calibri"/>
          <w:b/>
          <w:bCs/>
          <w:sz w:val="16"/>
          <w:szCs w:val="16"/>
          <w:lang w:val="hr-HR"/>
        </w:rPr>
        <w:tab/>
      </w:r>
      <w:r>
        <w:rPr>
          <w:rFonts w:ascii="Calibri" w:hAnsi="Calibri" w:cs="Calibri"/>
          <w:sz w:val="16"/>
          <w:szCs w:val="16"/>
          <w:lang w:val="hr-HR"/>
        </w:rPr>
        <w:tab/>
      </w:r>
      <w:r>
        <w:rPr>
          <w:rFonts w:ascii="Calibri" w:hAnsi="Calibri" w:cs="Calibri"/>
          <w:sz w:val="16"/>
          <w:szCs w:val="16"/>
          <w:lang w:val="hr-HR"/>
        </w:rPr>
        <w:tab/>
      </w:r>
      <w:r w:rsidRPr="002436D5">
        <w:rPr>
          <w:rFonts w:ascii="Calibri" w:hAnsi="Calibri" w:cs="Calibri"/>
          <w:b/>
          <w:bCs/>
          <w:sz w:val="16"/>
          <w:szCs w:val="16"/>
          <w:lang w:val="hr-HR"/>
        </w:rPr>
        <w:t>ZAJMOPRIMCI</w:t>
      </w:r>
      <w:r w:rsidRPr="002436D5">
        <w:rPr>
          <w:rFonts w:ascii="Calibri" w:hAnsi="Calibri" w:cs="Calibri"/>
          <w:b/>
          <w:bCs/>
          <w:sz w:val="16"/>
          <w:szCs w:val="16"/>
          <w:lang w:val="hr-HR"/>
        </w:rPr>
        <w:tab/>
      </w:r>
      <w:r>
        <w:rPr>
          <w:rFonts w:ascii="Calibri" w:hAnsi="Calibri" w:cs="Calibri"/>
          <w:sz w:val="16"/>
          <w:szCs w:val="16"/>
          <w:lang w:val="hr-HR"/>
        </w:rPr>
        <w:tab/>
      </w:r>
      <w:r>
        <w:rPr>
          <w:rFonts w:ascii="Calibri" w:hAnsi="Calibri" w:cs="Calibri"/>
          <w:sz w:val="16"/>
          <w:szCs w:val="16"/>
          <w:lang w:val="hr-HR"/>
        </w:rPr>
        <w:tab/>
      </w:r>
      <w:r w:rsidRPr="002436D5">
        <w:rPr>
          <w:rFonts w:ascii="Calibri" w:hAnsi="Calibri" w:cs="Calibri"/>
          <w:b/>
          <w:bCs/>
          <w:sz w:val="16"/>
          <w:szCs w:val="16"/>
          <w:lang w:val="hr-HR"/>
        </w:rPr>
        <w:t>Agencija za stanovanje i urbani razvoj</w:t>
      </w:r>
    </w:p>
    <w:p w14:paraId="6A0188B5" w14:textId="77777777" w:rsidR="00132E7D" w:rsidRDefault="00132E7D" w:rsidP="00F030D3">
      <w:pPr>
        <w:spacing w:before="40" w:after="40" w:line="300" w:lineRule="auto"/>
        <w:jc w:val="left"/>
        <w:rPr>
          <w:rFonts w:ascii="Calibri" w:hAnsi="Calibri" w:cs="Calibri"/>
          <w:sz w:val="16"/>
          <w:szCs w:val="16"/>
          <w:lang w:val="hr-HR"/>
        </w:rPr>
      </w:pPr>
      <w:r>
        <w:rPr>
          <w:rFonts w:ascii="Calibri" w:hAnsi="Calibri" w:cs="Calibri"/>
          <w:sz w:val="16"/>
          <w:szCs w:val="16"/>
          <w:lang w:val="hr-HR"/>
        </w:rPr>
        <w:t>Odobreni projekti vezani uz</w:t>
      </w:r>
      <w:r>
        <w:rPr>
          <w:rFonts w:ascii="Calibri" w:hAnsi="Calibri" w:cs="Calibri"/>
          <w:sz w:val="16"/>
          <w:szCs w:val="16"/>
          <w:lang w:val="hr-HR"/>
        </w:rPr>
        <w:tab/>
        <w:t>Pojedinačni vlasnici stanova u</w:t>
      </w:r>
      <w:r>
        <w:rPr>
          <w:rFonts w:ascii="Calibri" w:hAnsi="Calibri" w:cs="Calibri"/>
          <w:sz w:val="16"/>
          <w:szCs w:val="16"/>
          <w:lang w:val="hr-HR"/>
        </w:rPr>
        <w:tab/>
      </w:r>
      <w:r>
        <w:rPr>
          <w:rFonts w:ascii="Calibri" w:hAnsi="Calibri" w:cs="Calibri"/>
          <w:sz w:val="16"/>
          <w:szCs w:val="16"/>
          <w:lang w:val="hr-HR"/>
        </w:rPr>
        <w:tab/>
      </w:r>
      <w:r w:rsidRPr="002436D5">
        <w:rPr>
          <w:rFonts w:ascii="Calibri" w:hAnsi="Calibri" w:cs="Calibri"/>
          <w:i/>
          <w:iCs/>
          <w:sz w:val="16"/>
          <w:szCs w:val="16"/>
          <w:lang w:val="hr-HR"/>
        </w:rPr>
        <w:t>Tehnička potpora</w:t>
      </w:r>
    </w:p>
    <w:p w14:paraId="57E664E3" w14:textId="77777777" w:rsidR="00132E7D" w:rsidRDefault="00132E7D" w:rsidP="00F030D3">
      <w:pPr>
        <w:spacing w:before="40" w:after="40" w:line="300" w:lineRule="auto"/>
        <w:jc w:val="left"/>
        <w:rPr>
          <w:rFonts w:ascii="Calibri" w:hAnsi="Calibri" w:cs="Calibri"/>
          <w:sz w:val="16"/>
          <w:szCs w:val="16"/>
          <w:lang w:val="hr-HR"/>
        </w:rPr>
      </w:pPr>
      <w:r>
        <w:rPr>
          <w:rFonts w:ascii="Calibri" w:hAnsi="Calibri" w:cs="Calibri"/>
          <w:sz w:val="16"/>
          <w:szCs w:val="16"/>
          <w:lang w:val="hr-HR"/>
        </w:rPr>
        <w:t>energetsku učinkovitost</w:t>
      </w:r>
      <w:r>
        <w:rPr>
          <w:rFonts w:ascii="Calibri" w:hAnsi="Calibri" w:cs="Calibri"/>
          <w:sz w:val="16"/>
          <w:szCs w:val="16"/>
          <w:lang w:val="hr-HR"/>
        </w:rPr>
        <w:tab/>
        <w:t>višestambenim zgradama / upravitelji</w:t>
      </w:r>
    </w:p>
    <w:p w14:paraId="3CB95033" w14:textId="77777777" w:rsidR="00132E7D" w:rsidRPr="00254C31" w:rsidRDefault="00132E7D" w:rsidP="00F030D3">
      <w:pPr>
        <w:spacing w:before="40" w:after="40" w:line="300" w:lineRule="auto"/>
        <w:jc w:val="left"/>
        <w:rPr>
          <w:rFonts w:ascii="Calibri" w:hAnsi="Calibri" w:cs="Calibri"/>
          <w:sz w:val="16"/>
          <w:szCs w:val="16"/>
          <w:lang w:val="hr-HR"/>
        </w:rPr>
      </w:pPr>
      <w:r>
        <w:rPr>
          <w:rFonts w:ascii="Calibri" w:hAnsi="Calibri" w:cs="Calibri"/>
          <w:sz w:val="16"/>
          <w:szCs w:val="16"/>
          <w:lang w:val="hr-HR"/>
        </w:rPr>
        <w:t xml:space="preserve">višestambenih zgrada </w:t>
      </w:r>
      <w:r>
        <w:rPr>
          <w:rFonts w:ascii="Calibri" w:hAnsi="Calibri" w:cs="Calibri"/>
          <w:sz w:val="16"/>
          <w:szCs w:val="16"/>
          <w:lang w:val="hr-HR"/>
        </w:rPr>
        <w:tab/>
        <w:t>zajedničkih dijelova višestambenih zgrada</w:t>
      </w:r>
    </w:p>
    <w:p w14:paraId="2C469869" w14:textId="77777777" w:rsidR="00132E7D" w:rsidRPr="00254C31" w:rsidRDefault="00132E7D" w:rsidP="00F030D3">
      <w:pPr>
        <w:spacing w:before="40" w:after="40" w:line="300" w:lineRule="auto"/>
        <w:jc w:val="left"/>
        <w:rPr>
          <w:rFonts w:ascii="Calibri" w:hAnsi="Calibri" w:cs="Calibri"/>
          <w:lang w:val="hr-HR"/>
        </w:rPr>
      </w:pPr>
    </w:p>
    <w:p w14:paraId="2B51AC7E" w14:textId="77777777" w:rsidR="00132E7D" w:rsidRDefault="00132E7D" w:rsidP="00F030D3">
      <w:pPr>
        <w:spacing w:before="40" w:after="40" w:line="300" w:lineRule="auto"/>
        <w:rPr>
          <w:rFonts w:ascii="Calibri" w:hAnsi="Calibri" w:cs="Calibri"/>
          <w:lang w:val="hr-HR"/>
        </w:rPr>
      </w:pPr>
      <w:r w:rsidRPr="00CA7F80">
        <w:rPr>
          <w:rFonts w:ascii="Calibri" w:hAnsi="Calibri" w:cs="Calibri"/>
          <w:lang w:val="hr-HR"/>
        </w:rPr>
        <w:t xml:space="preserve">Jedna od glavnih odlika modela </w:t>
      </w:r>
      <w:r w:rsidRPr="0036083E">
        <w:rPr>
          <w:rFonts w:ascii="Calibri" w:hAnsi="Calibri" w:cs="Calibri"/>
          <w:lang w:val="hr-HR"/>
        </w:rPr>
        <w:t xml:space="preserve">holding </w:t>
      </w:r>
      <w:r w:rsidRPr="00CA7F80">
        <w:rPr>
          <w:rFonts w:ascii="Calibri" w:hAnsi="Calibri" w:cs="Calibri"/>
          <w:lang w:val="hr-HR"/>
        </w:rPr>
        <w:t xml:space="preserve">fondova je mogućnost ostvarivanja ekonomije razmjera i, posljedično, boljih uvjeta za krajnje korisnike. Ostale očigledne prednosti uključuju i mogućnost preraspodjele sredstava između različitih fondova za urbani razvoj, ovisno o tržišnim ograničenjima i prilikama. </w:t>
      </w:r>
      <w:r>
        <w:rPr>
          <w:rFonts w:ascii="Calibri" w:hAnsi="Calibri" w:cs="Calibri"/>
          <w:lang w:val="hr-HR"/>
        </w:rPr>
        <w:t xml:space="preserve">Ohrabrena dosadašnjim uspjehom, Europska investicijska banka odlučila je u rujnu 2013. godine fondu odobriti dodatna sredstva u iznosu od 40 milijuna eura </w:t>
      </w:r>
      <w:hyperlink r:id="rId16" w:history="1">
        <w:r w:rsidRPr="00B97D1C">
          <w:rPr>
            <w:rStyle w:val="Hyperlink"/>
            <w:rFonts w:ascii="Calibri" w:hAnsi="Calibri" w:cs="Calibri"/>
            <w:sz w:val="18"/>
            <w:szCs w:val="18"/>
            <w:lang w:val="hr-HR"/>
          </w:rPr>
          <w:t>http://www.eib.org/about/press/2013/2013-136-further-support-from-eib-for-energy-efficient-housing-renovation-in-lithuania.htm</w:t>
        </w:r>
        <w:r w:rsidRPr="00B97D1C">
          <w:rPr>
            <w:rStyle w:val="Hyperlink"/>
            <w:rFonts w:ascii="Calibri" w:hAnsi="Calibri" w:cs="Calibri"/>
            <w:lang w:val="hr-HR"/>
          </w:rPr>
          <w:t>.</w:t>
        </w:r>
        <w:r w:rsidRPr="00CA7F80">
          <w:rPr>
            <w:rStyle w:val="Hyperlink"/>
            <w:rFonts w:ascii="Calibri" w:hAnsi="Calibri" w:cs="Calibri"/>
            <w:i/>
            <w:iCs/>
            <w:u w:val="none"/>
            <w:lang w:val="hr-HR"/>
          </w:rPr>
          <w:t xml:space="preserve"> </w:t>
        </w:r>
        <w:r w:rsidRPr="00CA7F80">
          <w:rPr>
            <w:rStyle w:val="Hyperlink"/>
            <w:rFonts w:ascii="Calibri" w:hAnsi="Calibri" w:cs="Calibri"/>
            <w:color w:val="auto"/>
            <w:u w:val="none"/>
            <w:lang w:val="hr-HR"/>
          </w:rPr>
          <w:t>No</w:t>
        </w:r>
      </w:hyperlink>
      <w:r>
        <w:rPr>
          <w:rFonts w:ascii="Calibri" w:hAnsi="Calibri" w:cs="Calibri"/>
          <w:lang w:val="hr-HR"/>
        </w:rPr>
        <w:t xml:space="preserve">, bez obzira na veličinu litavskog fonda, uočen je skroman napredak s obzirom na broj stambenih zgrada kojima je potrebna značajna energetska obnova. Iako su do sredine 2013. godine stanari dvjestotinjak zgrada fondu uputili zahtjev za dodjelu zajma, u Litvi ima više od 24.000 višestambenih zgrada koje su izgrađene prije 1993. i kojima je potrebna značajna energetska obnova. </w:t>
      </w:r>
    </w:p>
    <w:p w14:paraId="77532806" w14:textId="77777777" w:rsidR="00132E7D" w:rsidRPr="00CA7F80" w:rsidRDefault="00132E7D" w:rsidP="00F030D3">
      <w:pPr>
        <w:spacing w:before="40" w:after="40" w:line="300" w:lineRule="auto"/>
        <w:rPr>
          <w:rFonts w:ascii="Calibri" w:hAnsi="Calibri" w:cs="Calibri"/>
          <w:lang w:val="hr-HR"/>
        </w:rPr>
      </w:pPr>
    </w:p>
    <w:p w14:paraId="4C336E9B" w14:textId="77777777" w:rsidR="00132E7D" w:rsidRPr="00CA7F80" w:rsidRDefault="00132E7D" w:rsidP="00F030D3">
      <w:pPr>
        <w:spacing w:before="40" w:after="40" w:line="300" w:lineRule="auto"/>
        <w:rPr>
          <w:rFonts w:ascii="Calibri" w:hAnsi="Calibri" w:cs="Calibri"/>
          <w:b/>
          <w:bCs/>
          <w:i/>
          <w:iCs/>
          <w:lang w:val="hr-HR"/>
        </w:rPr>
      </w:pPr>
      <w:r>
        <w:rPr>
          <w:rFonts w:ascii="Calibri" w:hAnsi="Calibri" w:cs="Calibri"/>
          <w:b/>
          <w:bCs/>
          <w:i/>
          <w:iCs/>
          <w:lang w:val="hr-HR"/>
        </w:rPr>
        <w:t>'Off-the-shelf'</w:t>
      </w:r>
      <w:r w:rsidRPr="00CA7F80">
        <w:rPr>
          <w:rFonts w:ascii="Calibri" w:hAnsi="Calibri" w:cs="Calibri"/>
          <w:b/>
          <w:bCs/>
          <w:i/>
          <w:iCs/>
          <w:lang w:val="hr-HR"/>
        </w:rPr>
        <w:t xml:space="preserve"> </w:t>
      </w:r>
      <w:r>
        <w:rPr>
          <w:rFonts w:ascii="Calibri" w:hAnsi="Calibri" w:cs="Calibri"/>
          <w:b/>
          <w:bCs/>
          <w:i/>
          <w:iCs/>
          <w:lang w:val="hr-HR"/>
        </w:rPr>
        <w:t>f</w:t>
      </w:r>
      <w:r w:rsidRPr="00CA7F80">
        <w:rPr>
          <w:rFonts w:ascii="Calibri" w:hAnsi="Calibri" w:cs="Calibri"/>
          <w:b/>
          <w:bCs/>
          <w:i/>
          <w:iCs/>
          <w:lang w:val="hr-HR"/>
        </w:rPr>
        <w:t>inanci</w:t>
      </w:r>
      <w:r>
        <w:rPr>
          <w:rFonts w:ascii="Calibri" w:hAnsi="Calibri" w:cs="Calibri"/>
          <w:b/>
          <w:bCs/>
          <w:i/>
          <w:iCs/>
          <w:lang w:val="hr-HR"/>
        </w:rPr>
        <w:t>jski i</w:t>
      </w:r>
      <w:r w:rsidRPr="00CA7F80">
        <w:rPr>
          <w:rFonts w:ascii="Calibri" w:hAnsi="Calibri" w:cs="Calibri"/>
          <w:b/>
          <w:bCs/>
          <w:i/>
          <w:iCs/>
          <w:lang w:val="hr-HR"/>
        </w:rPr>
        <w:t>nstrument</w:t>
      </w:r>
      <w:r>
        <w:rPr>
          <w:rFonts w:ascii="Calibri" w:hAnsi="Calibri" w:cs="Calibri"/>
          <w:b/>
          <w:bCs/>
          <w:i/>
          <w:iCs/>
          <w:lang w:val="hr-HR"/>
        </w:rPr>
        <w:t>i EU-a namijenjeni investiranju u energetsku učinkovitost</w:t>
      </w:r>
    </w:p>
    <w:p w14:paraId="6C271708" w14:textId="77777777" w:rsidR="00132E7D" w:rsidRDefault="00132E7D" w:rsidP="00F030D3">
      <w:pPr>
        <w:spacing w:before="40" w:after="40" w:line="300" w:lineRule="auto"/>
        <w:rPr>
          <w:rFonts w:ascii="Calibri" w:hAnsi="Calibri" w:cs="Calibri"/>
          <w:lang w:val="hr-HR"/>
        </w:rPr>
      </w:pPr>
      <w:r>
        <w:rPr>
          <w:rFonts w:ascii="Calibri" w:hAnsi="Calibri" w:cs="Calibri"/>
          <w:lang w:val="hr-HR"/>
        </w:rPr>
        <w:t xml:space="preserve">Zanimljiva je činjenica da Komisija polaže veliku nadu u relativno jednostavne financijske instrumente namijenjene sektoru energetske učinkovitosti stambenih zgrada. Jedan od Komisijinih </w:t>
      </w:r>
      <w:r w:rsidRPr="00CA7F80">
        <w:rPr>
          <w:rFonts w:ascii="Calibri" w:hAnsi="Calibri" w:cs="Calibri"/>
          <w:i/>
          <w:iCs/>
          <w:lang w:val="hr-HR"/>
        </w:rPr>
        <w:t xml:space="preserve">off-the-shelf </w:t>
      </w:r>
      <w:r>
        <w:rPr>
          <w:rFonts w:ascii="Calibri" w:hAnsi="Calibri" w:cs="Calibri"/>
          <w:lang w:val="hr-HR"/>
        </w:rPr>
        <w:t>financijskih instrumenata</w:t>
      </w:r>
      <w:r w:rsidRPr="00CA7F80">
        <w:rPr>
          <w:rFonts w:ascii="Calibri" w:hAnsi="Calibri" w:cs="Calibri"/>
          <w:lang w:val="hr-HR"/>
        </w:rPr>
        <w:t xml:space="preserve"> </w:t>
      </w:r>
      <w:r>
        <w:rPr>
          <w:rFonts w:ascii="Calibri" w:hAnsi="Calibri" w:cs="Calibri"/>
          <w:lang w:val="hr-HR"/>
        </w:rPr>
        <w:t>za</w:t>
      </w:r>
      <w:r w:rsidRPr="00CA7F80">
        <w:rPr>
          <w:rFonts w:ascii="Calibri" w:hAnsi="Calibri" w:cs="Calibri"/>
          <w:lang w:val="hr-HR"/>
        </w:rPr>
        <w:t xml:space="preserve"> 2014</w:t>
      </w:r>
      <w:r>
        <w:rPr>
          <w:rFonts w:ascii="Calibri" w:hAnsi="Calibri" w:cs="Calibri"/>
          <w:lang w:val="hr-HR"/>
        </w:rPr>
        <w:t xml:space="preserve">. – </w:t>
      </w:r>
      <w:r w:rsidRPr="00CA7F80">
        <w:rPr>
          <w:rFonts w:ascii="Calibri" w:hAnsi="Calibri" w:cs="Calibri"/>
          <w:lang w:val="hr-HR"/>
        </w:rPr>
        <w:t>2020</w:t>
      </w:r>
      <w:r>
        <w:rPr>
          <w:rFonts w:ascii="Calibri" w:hAnsi="Calibri" w:cs="Calibri"/>
          <w:lang w:val="hr-HR"/>
        </w:rPr>
        <w:t xml:space="preserve">., predložen u okviru (prijedloga) provedbenih propisa je – </w:t>
      </w:r>
      <w:r w:rsidRPr="00E50DD7">
        <w:rPr>
          <w:rFonts w:ascii="Calibri" w:hAnsi="Calibri" w:cs="Calibri"/>
          <w:u w:val="single"/>
          <w:lang w:val="hr-HR"/>
        </w:rPr>
        <w:t>kreditni proizvod za poboljšanje energetske učinkovitosti stambenih zgrada</w:t>
      </w:r>
      <w:r>
        <w:rPr>
          <w:rFonts w:ascii="Calibri" w:hAnsi="Calibri" w:cs="Calibri"/>
          <w:lang w:val="hr-HR"/>
        </w:rPr>
        <w:t xml:space="preserve"> … </w:t>
      </w:r>
      <w:r>
        <w:rPr>
          <w:rFonts w:ascii="Calibri" w:hAnsi="Calibri" w:cs="Calibri"/>
          <w:i/>
          <w:iCs/>
          <w:lang w:val="hr-HR"/>
        </w:rPr>
        <w:t>'I</w:t>
      </w:r>
      <w:r w:rsidRPr="00E50DD7">
        <w:rPr>
          <w:rFonts w:ascii="Calibri" w:hAnsi="Calibri" w:cs="Calibri"/>
          <w:i/>
          <w:iCs/>
          <w:lang w:val="hr-HR"/>
        </w:rPr>
        <w:t>nstrument koji nudi povlaštene kredite fizičkim</w:t>
      </w:r>
      <w:r>
        <w:rPr>
          <w:rFonts w:ascii="Calibri" w:hAnsi="Calibri" w:cs="Calibri"/>
          <w:i/>
          <w:iCs/>
          <w:lang w:val="hr-HR"/>
        </w:rPr>
        <w:t xml:space="preserve"> i pravnim osobama, neovisnim stručnjacima u posjedu stambeno prostora (stana, socijalnog stana ili zasebnog kućanstva) te upraviteljima ili drugim pravnim tijelima, koji djeluju u ime i za račun vlasnika kako bi osigurali izvođenje sanacijskih radova koji udovoljavaju uvjetima za korištenje sredstava iz Europskih strukturnih i investicijskih fondova.'  </w:t>
      </w:r>
    </w:p>
    <w:p w14:paraId="32AB8F3C" w14:textId="77777777" w:rsidR="00132E7D" w:rsidRPr="00CA7F80" w:rsidRDefault="00132E7D" w:rsidP="00F030D3">
      <w:pPr>
        <w:spacing w:before="40" w:after="40" w:line="300" w:lineRule="auto"/>
        <w:rPr>
          <w:rFonts w:ascii="Calibri" w:hAnsi="Calibri" w:cs="Calibri"/>
          <w:lang w:val="hr-HR"/>
        </w:rPr>
      </w:pPr>
      <w:hyperlink r:id="rId17" w:history="1">
        <w:r w:rsidRPr="00CA7F80">
          <w:rPr>
            <w:rFonts w:ascii="Calibri" w:hAnsi="Calibri" w:cs="Calibri"/>
            <w:color w:val="0000FF"/>
            <w:sz w:val="18"/>
            <w:szCs w:val="18"/>
            <w:u w:val="single"/>
            <w:lang w:val="hr-HR"/>
          </w:rPr>
          <w:t>http://ec.europa.eu/regional_policy/what/future/pdf/preparation/262709_ia_3_draft_standard_terms_conditions_financial_instruments.pdf</w:t>
        </w:r>
      </w:hyperlink>
      <w:r w:rsidRPr="00CA7F80">
        <w:rPr>
          <w:rFonts w:ascii="Calibri" w:hAnsi="Calibri" w:cs="Calibri"/>
          <w:sz w:val="18"/>
          <w:szCs w:val="18"/>
          <w:lang w:val="hr-HR"/>
        </w:rPr>
        <w:t xml:space="preserve"> (</w:t>
      </w:r>
      <w:r>
        <w:rPr>
          <w:rFonts w:ascii="Calibri" w:hAnsi="Calibri" w:cs="Calibri"/>
          <w:sz w:val="18"/>
          <w:szCs w:val="18"/>
          <w:lang w:val="hr-HR"/>
        </w:rPr>
        <w:t>v.</w:t>
      </w:r>
      <w:r w:rsidRPr="00CA7F80">
        <w:rPr>
          <w:rFonts w:ascii="Calibri" w:hAnsi="Calibri" w:cs="Calibri"/>
          <w:sz w:val="18"/>
          <w:szCs w:val="18"/>
          <w:lang w:val="hr-HR"/>
        </w:rPr>
        <w:t xml:space="preserve"> </w:t>
      </w:r>
      <w:r>
        <w:rPr>
          <w:rFonts w:ascii="Calibri" w:hAnsi="Calibri" w:cs="Calibri"/>
          <w:sz w:val="18"/>
          <w:szCs w:val="18"/>
          <w:lang w:val="hr-HR"/>
        </w:rPr>
        <w:t>od str.</w:t>
      </w:r>
      <w:r w:rsidRPr="00CA7F80">
        <w:rPr>
          <w:rFonts w:ascii="Calibri" w:hAnsi="Calibri" w:cs="Calibri"/>
          <w:sz w:val="18"/>
          <w:szCs w:val="18"/>
          <w:lang w:val="hr-HR"/>
        </w:rPr>
        <w:t xml:space="preserve"> 39)</w:t>
      </w:r>
      <w:r w:rsidRPr="00CA7F80">
        <w:rPr>
          <w:rFonts w:ascii="Calibri" w:hAnsi="Calibri" w:cs="Calibri"/>
          <w:lang w:val="hr-HR"/>
        </w:rPr>
        <w:t>.</w:t>
      </w:r>
    </w:p>
    <w:p w14:paraId="7AA2B80D" w14:textId="77777777" w:rsidR="00132E7D" w:rsidRDefault="00132E7D" w:rsidP="00F030D3">
      <w:pPr>
        <w:spacing w:before="40" w:after="40" w:line="300" w:lineRule="auto"/>
        <w:rPr>
          <w:rFonts w:ascii="Calibri" w:hAnsi="Calibri" w:cs="Calibri"/>
          <w:u w:val="single"/>
          <w:lang w:val="hr-HR"/>
        </w:rPr>
      </w:pPr>
      <w:r>
        <w:rPr>
          <w:rFonts w:ascii="Calibri" w:hAnsi="Calibri" w:cs="Calibri"/>
          <w:lang w:val="hr-HR"/>
        </w:rPr>
        <w:t xml:space="preserve">Komisijin </w:t>
      </w:r>
      <w:r>
        <w:rPr>
          <w:rFonts w:ascii="Calibri" w:hAnsi="Calibri" w:cs="Calibri"/>
          <w:u w:val="single"/>
          <w:lang w:val="hr-HR"/>
        </w:rPr>
        <w:t>kreditni proizvod za poboljša</w:t>
      </w:r>
      <w:r w:rsidRPr="002B67CB">
        <w:rPr>
          <w:rFonts w:ascii="Calibri" w:hAnsi="Calibri" w:cs="Calibri"/>
          <w:u w:val="single"/>
          <w:lang w:val="hr-HR"/>
        </w:rPr>
        <w:t>nje energetske učinkovitosti stambenih zgrada</w:t>
      </w:r>
      <w:r w:rsidRPr="002B67CB">
        <w:rPr>
          <w:rFonts w:ascii="Calibri" w:hAnsi="Calibri" w:cs="Calibri"/>
          <w:lang w:val="hr-HR"/>
        </w:rPr>
        <w:t xml:space="preserve"> prvenstveno</w:t>
      </w:r>
      <w:r>
        <w:rPr>
          <w:rFonts w:ascii="Calibri" w:hAnsi="Calibri" w:cs="Calibri"/>
          <w:lang w:val="hr-HR"/>
        </w:rPr>
        <w:t xml:space="preserve"> </w:t>
      </w:r>
      <w:r w:rsidRPr="002B67CB">
        <w:rPr>
          <w:rFonts w:ascii="Calibri" w:hAnsi="Calibri" w:cs="Calibri"/>
          <w:lang w:val="hr-HR"/>
        </w:rPr>
        <w:t xml:space="preserve">je </w:t>
      </w:r>
      <w:r>
        <w:rPr>
          <w:rFonts w:ascii="Calibri" w:hAnsi="Calibri" w:cs="Calibri"/>
          <w:lang w:val="hr-HR"/>
        </w:rPr>
        <w:t xml:space="preserve">namijenjen višestambenim zgradama sa značajnim potencijalom za energetsku uštedu kroz obnovu, čiji stanari iskazuju potrebu za odgovarajućom potporom. Potpora se može pružati u obliku komplementarnih bespovratnih sredstava, dugoročnog subvencioniranja kredita ili savjetodavnih usluga i avansiranja sredstava u svrhu pripreme i provedbe sveobuhvatnih projekata obnove zgrada. </w:t>
      </w:r>
    </w:p>
    <w:p w14:paraId="4F7BC0F5" w14:textId="77777777" w:rsidR="00132E7D" w:rsidRDefault="00132E7D" w:rsidP="00F030D3">
      <w:pPr>
        <w:spacing w:before="40" w:after="40" w:line="300" w:lineRule="auto"/>
        <w:rPr>
          <w:rFonts w:ascii="Calibri" w:hAnsi="Calibri" w:cs="Calibri"/>
          <w:lang w:val="hr-HR"/>
        </w:rPr>
      </w:pPr>
      <w:r w:rsidRPr="000205CC">
        <w:rPr>
          <w:rFonts w:ascii="Calibri" w:hAnsi="Calibri" w:cs="Calibri"/>
          <w:i/>
          <w:iCs/>
          <w:lang w:val="hr-HR"/>
        </w:rPr>
        <w:t>O</w:t>
      </w:r>
      <w:r w:rsidRPr="00CD118A">
        <w:rPr>
          <w:rFonts w:ascii="Calibri" w:hAnsi="Calibri" w:cs="Calibri"/>
          <w:i/>
          <w:iCs/>
          <w:lang w:val="hr-HR"/>
        </w:rPr>
        <w:t>ff-the-shelf</w:t>
      </w:r>
      <w:r w:rsidRPr="00CA7F80">
        <w:rPr>
          <w:rFonts w:ascii="Calibri" w:hAnsi="Calibri" w:cs="Calibri"/>
          <w:lang w:val="hr-HR"/>
        </w:rPr>
        <w:t xml:space="preserve"> instrument</w:t>
      </w:r>
      <w:r>
        <w:rPr>
          <w:rFonts w:ascii="Calibri" w:hAnsi="Calibri" w:cs="Calibri"/>
          <w:lang w:val="hr-HR"/>
        </w:rPr>
        <w:t xml:space="preserve"> cilja i na tržište financiranja na kojem se sredstva mogu pribaviti jedino putem bankovnih posrednika, ali koja pritom nisu dostatna (uslijed posrednikove sklonosti preuzimanju rizika) ili su suviše kratkoročna, preskupa ili na neki drugi način ne odgovaraju financiranim projektima s dugoročnim uvjetima otplate. </w:t>
      </w:r>
    </w:p>
    <w:p w14:paraId="59A6691E" w14:textId="621DFB29" w:rsidR="00132E7D" w:rsidRDefault="00132E7D" w:rsidP="00F030D3">
      <w:pPr>
        <w:spacing w:before="40" w:after="40" w:line="300" w:lineRule="auto"/>
        <w:rPr>
          <w:rFonts w:ascii="Calibri" w:hAnsi="Calibri" w:cs="Calibri"/>
          <w:u w:val="single"/>
          <w:lang w:val="hr-HR"/>
        </w:rPr>
      </w:pPr>
      <w:r>
        <w:rPr>
          <w:rFonts w:ascii="Calibri" w:hAnsi="Calibri" w:cs="Calibri"/>
          <w:lang w:val="hr-HR"/>
        </w:rPr>
        <w:t xml:space="preserve">Usporedbom opisanih primjera estonskog i litavskog fonda, može se uočiti da predloženi </w:t>
      </w:r>
      <w:r w:rsidRPr="000820DF">
        <w:rPr>
          <w:rFonts w:ascii="Calibri" w:hAnsi="Calibri" w:cs="Calibri"/>
          <w:u w:val="single"/>
          <w:lang w:val="hr-HR"/>
        </w:rPr>
        <w:t>kreditni proizvod za poboljšanje energetske učinkovitosti stambenih zgrada</w:t>
      </w:r>
      <w:r w:rsidRPr="000820DF">
        <w:rPr>
          <w:rFonts w:ascii="Calibri" w:hAnsi="Calibri" w:cs="Calibri"/>
          <w:lang w:val="hr-HR"/>
        </w:rPr>
        <w:t xml:space="preserve"> pokazuje </w:t>
      </w:r>
      <w:r>
        <w:rPr>
          <w:rFonts w:ascii="Calibri" w:hAnsi="Calibri" w:cs="Calibri"/>
          <w:lang w:val="hr-HR"/>
        </w:rPr>
        <w:t>izrazit</w:t>
      </w:r>
      <w:r w:rsidRPr="000820DF">
        <w:rPr>
          <w:rFonts w:ascii="Calibri" w:hAnsi="Calibri" w:cs="Calibri"/>
          <w:lang w:val="hr-HR"/>
        </w:rPr>
        <w:t xml:space="preserve">e sličnosti </w:t>
      </w:r>
      <w:r>
        <w:rPr>
          <w:rFonts w:ascii="Calibri" w:hAnsi="Calibri" w:cs="Calibri"/>
          <w:lang w:val="hr-HR"/>
        </w:rPr>
        <w:t>–</w:t>
      </w:r>
      <w:r w:rsidRPr="000820DF">
        <w:rPr>
          <w:rFonts w:ascii="Calibri" w:hAnsi="Calibri" w:cs="Calibri"/>
          <w:lang w:val="hr-HR"/>
        </w:rPr>
        <w:t xml:space="preserve"> </w:t>
      </w:r>
      <w:r>
        <w:rPr>
          <w:rFonts w:ascii="Calibri" w:hAnsi="Calibri" w:cs="Calibri"/>
          <w:lang w:val="hr-HR"/>
        </w:rPr>
        <w:t xml:space="preserve">uz povlaštene kredite s fiksnim godišnjim kamatnim stopama, obuhvaća i mogućnost financiranja tehničke potpore, mogućnost otplate sredstvima ušteđenim uslijed plaćanja nižih iznosa računa za utrošenu energiju, mogućnost ugovaranja posebnih uvjeta, uključujući povrat dijela iznosa rata za domaćinstva unutar posebnih kategorija, itd. Komisija u važećem prijedlogu procjenjuje da bi krajnji korisnik mogao koristiti najviše 50.000 eura iznosa kredita. Prijedlog sadrži i mogućnost povrata iznosa na temelju dostavljene dokumentacije o ostvarenom standardu energetske učinkovitosti nakon obnove. </w:t>
      </w:r>
    </w:p>
    <w:p w14:paraId="601B963D" w14:textId="77777777" w:rsidR="00132E7D" w:rsidRPr="003A6962" w:rsidRDefault="00132E7D" w:rsidP="00F030D3">
      <w:pPr>
        <w:spacing w:before="40" w:after="40" w:line="300" w:lineRule="auto"/>
        <w:rPr>
          <w:rFonts w:ascii="Calibri" w:hAnsi="Calibri" w:cs="Calibri"/>
          <w:lang w:val="hr-HR"/>
        </w:rPr>
      </w:pPr>
      <w:r w:rsidRPr="004503F8">
        <w:rPr>
          <w:rFonts w:ascii="Calibri" w:hAnsi="Calibri" w:cs="Calibri"/>
          <w:lang w:val="hr-HR"/>
        </w:rPr>
        <w:t xml:space="preserve">Vezano za državne potpore, </w:t>
      </w:r>
      <w:r w:rsidRPr="007D43AC">
        <w:rPr>
          <w:rFonts w:ascii="Calibri" w:hAnsi="Calibri" w:cs="Calibri"/>
          <w:i/>
          <w:iCs/>
          <w:lang w:val="hr-HR"/>
        </w:rPr>
        <w:t xml:space="preserve">off-the-shelf </w:t>
      </w:r>
      <w:r>
        <w:rPr>
          <w:rFonts w:ascii="Calibri" w:hAnsi="Calibri" w:cs="Calibri"/>
          <w:lang w:val="hr-HR"/>
        </w:rPr>
        <w:t>i</w:t>
      </w:r>
      <w:r w:rsidRPr="00CA7F80">
        <w:rPr>
          <w:rFonts w:ascii="Calibri" w:hAnsi="Calibri" w:cs="Calibri"/>
          <w:lang w:val="hr-HR"/>
        </w:rPr>
        <w:t>nstrument</w:t>
      </w:r>
      <w:r>
        <w:rPr>
          <w:rFonts w:ascii="Calibri" w:hAnsi="Calibri" w:cs="Calibri"/>
          <w:lang w:val="hr-HR"/>
        </w:rPr>
        <w:t xml:space="preserve"> je oblikovan prvenstveno u okviru pravila </w:t>
      </w:r>
      <w:r w:rsidRPr="007D43AC">
        <w:rPr>
          <w:rFonts w:ascii="Calibri" w:hAnsi="Calibri" w:cs="Calibri"/>
          <w:i/>
          <w:iCs/>
          <w:lang w:val="hr-HR"/>
        </w:rPr>
        <w:t>de minimis</w:t>
      </w:r>
      <w:r>
        <w:rPr>
          <w:rFonts w:ascii="Calibri" w:hAnsi="Calibri" w:cs="Calibri"/>
          <w:lang w:val="hr-HR"/>
        </w:rPr>
        <w:t xml:space="preserve"> o izuzeću potpora manje vrijednosti. Sva se sredstva usmjeravaju krajnjim korisnicima, odnosno, vlasnicima stanova (fizičkim i pravnim osobama ili neovisnim stručnjacima). U</w:t>
      </w:r>
      <w:r w:rsidRPr="007D43AC">
        <w:rPr>
          <w:rFonts w:ascii="Calibri" w:hAnsi="Calibri" w:cs="Calibri"/>
          <w:lang w:val="hr-HR"/>
        </w:rPr>
        <w:t>kupna vrijednost po</w:t>
      </w:r>
      <w:r>
        <w:rPr>
          <w:rFonts w:ascii="Calibri" w:hAnsi="Calibri" w:cs="Calibri"/>
          <w:lang w:val="hr-HR"/>
        </w:rPr>
        <w:t xml:space="preserve">tpore – iznos subvencioniranog kredita plus iznos bespovratnih sredstava za tehničku potporu i/ili povrata - </w:t>
      </w:r>
      <w:r w:rsidRPr="007D43AC">
        <w:rPr>
          <w:rFonts w:ascii="Calibri" w:hAnsi="Calibri" w:cs="Calibri"/>
          <w:lang w:val="hr-HR"/>
        </w:rPr>
        <w:t xml:space="preserve">ne smije prijeći iznos od 200.000 eura </w:t>
      </w:r>
      <w:r>
        <w:rPr>
          <w:rFonts w:ascii="Calibri" w:hAnsi="Calibri" w:cs="Calibri"/>
          <w:lang w:val="hr-HR"/>
        </w:rPr>
        <w:t>po krajnjem korisniku unutar</w:t>
      </w:r>
      <w:r w:rsidRPr="007D43AC">
        <w:rPr>
          <w:rFonts w:ascii="Calibri" w:hAnsi="Calibri" w:cs="Calibri"/>
          <w:lang w:val="hr-HR"/>
        </w:rPr>
        <w:t xml:space="preserve"> tri financijske godine</w:t>
      </w:r>
      <w:r>
        <w:rPr>
          <w:rFonts w:ascii="Calibri" w:hAnsi="Calibri" w:cs="Calibri"/>
          <w:lang w:val="hr-HR"/>
        </w:rPr>
        <w:t xml:space="preserve">. Potrebno je obratiti posebnu pozornost na udovoljavanje ovom uvjetu u slučajevima kada je </w:t>
      </w:r>
      <w:r w:rsidRPr="003A6962">
        <w:rPr>
          <w:rFonts w:ascii="Calibri" w:hAnsi="Calibri" w:cs="Calibri"/>
          <w:lang w:val="hr-HR"/>
        </w:rPr>
        <w:t>vlasnik ujedno i najmodavac te ostvaruje profit prodajom energije iz obnovljivih izvora koji su predmet financiranja.</w:t>
      </w:r>
    </w:p>
    <w:p w14:paraId="1D5F830B" w14:textId="77777777" w:rsidR="00132E7D" w:rsidRPr="00F030D3" w:rsidRDefault="00132E7D" w:rsidP="00F030D3">
      <w:pPr>
        <w:spacing w:before="40" w:after="40" w:line="300" w:lineRule="auto"/>
        <w:rPr>
          <w:rFonts w:ascii="Calibri" w:hAnsi="Calibri" w:cs="Calibri"/>
          <w:lang w:val="hr-H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32E7D" w:rsidRPr="00CF2B98" w14:paraId="30BC46FE" w14:textId="77777777">
        <w:trPr>
          <w:trHeight w:val="331"/>
        </w:trPr>
        <w:tc>
          <w:tcPr>
            <w:tcW w:w="9016" w:type="dxa"/>
          </w:tcPr>
          <w:p w14:paraId="74331183" w14:textId="77777777" w:rsidR="00132E7D" w:rsidRPr="00A8422E" w:rsidRDefault="00132E7D" w:rsidP="00F030D3">
            <w:pPr>
              <w:spacing w:before="40" w:after="40" w:line="300" w:lineRule="auto"/>
              <w:jc w:val="center"/>
              <w:rPr>
                <w:rFonts w:ascii="Calibri" w:hAnsi="Calibri" w:cs="Calibri"/>
                <w:b/>
                <w:bCs/>
                <w:sz w:val="20"/>
                <w:szCs w:val="20"/>
                <w:lang w:val="hr-HR"/>
              </w:rPr>
            </w:pPr>
            <w:r w:rsidRPr="00A8422E">
              <w:rPr>
                <w:rFonts w:ascii="Calibri" w:hAnsi="Calibri" w:cs="Calibri"/>
                <w:b/>
                <w:bCs/>
                <w:sz w:val="20"/>
                <w:szCs w:val="20"/>
                <w:lang w:val="hr-HR"/>
              </w:rPr>
              <w:lastRenderedPageBreak/>
              <w:t xml:space="preserve">Komisijin prijedlog </w:t>
            </w:r>
            <w:r w:rsidRPr="00A8422E">
              <w:rPr>
                <w:rFonts w:ascii="Calibri" w:hAnsi="Calibri" w:cs="Calibri"/>
                <w:b/>
                <w:bCs/>
                <w:i/>
                <w:iCs/>
                <w:sz w:val="20"/>
                <w:szCs w:val="20"/>
                <w:lang w:val="hr-HR"/>
              </w:rPr>
              <w:t>off-the-shelf</w:t>
            </w:r>
            <w:r w:rsidRPr="00A8422E">
              <w:rPr>
                <w:rFonts w:ascii="Calibri" w:hAnsi="Calibri" w:cs="Calibri"/>
                <w:b/>
                <w:bCs/>
                <w:sz w:val="20"/>
                <w:szCs w:val="20"/>
                <w:lang w:val="hr-HR"/>
              </w:rPr>
              <w:t xml:space="preserve"> financijskog instrumenta za 2014.- 2020.</w:t>
            </w:r>
          </w:p>
          <w:p w14:paraId="6633CA98" w14:textId="77777777" w:rsidR="00132E7D" w:rsidRPr="00A8422E" w:rsidRDefault="00132E7D" w:rsidP="00F030D3">
            <w:pPr>
              <w:spacing w:before="40" w:after="40" w:line="300" w:lineRule="auto"/>
              <w:jc w:val="center"/>
              <w:rPr>
                <w:rFonts w:ascii="Calibri" w:hAnsi="Calibri" w:cs="Calibri"/>
                <w:b/>
                <w:bCs/>
                <w:sz w:val="20"/>
                <w:szCs w:val="20"/>
                <w:u w:val="single"/>
                <w:lang w:val="hr-HR"/>
              </w:rPr>
            </w:pPr>
            <w:r>
              <w:rPr>
                <w:rFonts w:ascii="Calibri" w:hAnsi="Calibri" w:cs="Calibri"/>
                <w:b/>
                <w:bCs/>
                <w:sz w:val="20"/>
                <w:szCs w:val="20"/>
                <w:u w:val="single"/>
                <w:lang w:val="hr-HR"/>
              </w:rPr>
              <w:t>Kreditni proizvod za poboljša</w:t>
            </w:r>
            <w:r w:rsidRPr="00A8422E">
              <w:rPr>
                <w:rFonts w:ascii="Calibri" w:hAnsi="Calibri" w:cs="Calibri"/>
                <w:b/>
                <w:bCs/>
                <w:sz w:val="20"/>
                <w:szCs w:val="20"/>
                <w:u w:val="single"/>
                <w:lang w:val="hr-HR"/>
              </w:rPr>
              <w:t>nje energetske učinkovitosti stambenih zgrada</w:t>
            </w:r>
          </w:p>
          <w:p w14:paraId="6BF01ABC" w14:textId="77777777" w:rsidR="00132E7D" w:rsidRPr="00A8422E" w:rsidRDefault="00132E7D" w:rsidP="00F030D3">
            <w:pPr>
              <w:spacing w:before="40" w:after="40" w:line="300" w:lineRule="auto"/>
              <w:jc w:val="center"/>
              <w:rPr>
                <w:rFonts w:ascii="Calibri" w:hAnsi="Calibri" w:cs="Calibri"/>
                <w:b/>
                <w:bCs/>
                <w:i/>
                <w:iCs/>
                <w:sz w:val="16"/>
                <w:szCs w:val="16"/>
                <w:lang w:val="hr-HR"/>
              </w:rPr>
            </w:pPr>
            <w:r w:rsidRPr="00A8422E">
              <w:rPr>
                <w:rFonts w:ascii="Calibri" w:hAnsi="Calibri" w:cs="Calibri"/>
                <w:b/>
                <w:bCs/>
                <w:i/>
                <w:iCs/>
                <w:sz w:val="16"/>
                <w:szCs w:val="16"/>
                <w:lang w:val="hr-HR"/>
              </w:rPr>
              <w:t>Prijedlog od 16.09.2013.</w:t>
            </w:r>
          </w:p>
          <w:p w14:paraId="753E7F40" w14:textId="77777777" w:rsidR="00132E7D" w:rsidRPr="00A8422E" w:rsidRDefault="00132E7D" w:rsidP="00F030D3">
            <w:pPr>
              <w:spacing w:before="40" w:after="40" w:line="300" w:lineRule="auto"/>
              <w:jc w:val="left"/>
              <w:rPr>
                <w:rFonts w:ascii="Calibri" w:hAnsi="Calibri" w:cs="Calibri"/>
                <w:sz w:val="20"/>
                <w:szCs w:val="20"/>
                <w:u w:val="single"/>
                <w:lang w:val="hr-HR"/>
              </w:rPr>
            </w:pPr>
          </w:p>
          <w:p w14:paraId="79A4BC3F" w14:textId="77777777" w:rsidR="00132E7D" w:rsidRPr="00A8422E" w:rsidRDefault="00132E7D" w:rsidP="00F030D3">
            <w:pPr>
              <w:spacing w:before="40" w:after="40" w:line="300" w:lineRule="auto"/>
              <w:jc w:val="left"/>
              <w:rPr>
                <w:rFonts w:ascii="Calibri" w:hAnsi="Calibri" w:cs="Calibri"/>
                <w:sz w:val="20"/>
                <w:szCs w:val="20"/>
                <w:lang w:val="hr-HR"/>
              </w:rPr>
            </w:pPr>
            <w:r>
              <w:rPr>
                <w:rFonts w:ascii="Calibri" w:hAnsi="Calibri" w:cs="Calibri"/>
                <w:sz w:val="20"/>
                <w:szCs w:val="20"/>
                <w:lang w:val="hr-HR"/>
              </w:rPr>
              <w:t>Prihvatljivi izdaci</w:t>
            </w:r>
            <w:r w:rsidRPr="00A8422E">
              <w:rPr>
                <w:rFonts w:ascii="Calibri" w:hAnsi="Calibri" w:cs="Calibri"/>
                <w:sz w:val="20"/>
                <w:szCs w:val="20"/>
                <w:lang w:val="hr-HR"/>
              </w:rPr>
              <w:t xml:space="preserve"> (</w:t>
            </w:r>
            <w:r>
              <w:rPr>
                <w:rFonts w:ascii="Calibri" w:hAnsi="Calibri" w:cs="Calibri"/>
                <w:sz w:val="20"/>
                <w:szCs w:val="20"/>
                <w:lang w:val="hr-HR"/>
              </w:rPr>
              <w:t>ogledni popis</w:t>
            </w:r>
            <w:r w:rsidRPr="00A8422E">
              <w:rPr>
                <w:rFonts w:ascii="Calibri" w:hAnsi="Calibri" w:cs="Calibri"/>
                <w:sz w:val="20"/>
                <w:szCs w:val="20"/>
                <w:lang w:val="hr-HR"/>
              </w:rPr>
              <w:t xml:space="preserve"> </w:t>
            </w:r>
            <w:r>
              <w:rPr>
                <w:rFonts w:ascii="Calibri" w:hAnsi="Calibri" w:cs="Calibri"/>
                <w:sz w:val="20"/>
                <w:szCs w:val="20"/>
                <w:lang w:val="hr-HR"/>
              </w:rPr>
              <w:t>građevinskih radova koji udovoljavaju uvjetima za financiranje</w:t>
            </w:r>
            <w:r w:rsidRPr="00A8422E">
              <w:rPr>
                <w:rFonts w:ascii="Calibri" w:hAnsi="Calibri" w:cs="Calibri"/>
                <w:sz w:val="20"/>
                <w:szCs w:val="20"/>
                <w:lang w:val="hr-HR"/>
              </w:rPr>
              <w:t xml:space="preserve">) </w:t>
            </w:r>
          </w:p>
          <w:p w14:paraId="3FD6C2C9" w14:textId="77777777" w:rsidR="00132E7D" w:rsidRDefault="00132E7D" w:rsidP="00F030D3">
            <w:pPr>
              <w:numPr>
                <w:ilvl w:val="0"/>
                <w:numId w:val="34"/>
              </w:numPr>
              <w:spacing w:before="40" w:after="40" w:line="300" w:lineRule="auto"/>
              <w:jc w:val="left"/>
              <w:rPr>
                <w:rFonts w:ascii="Calibri" w:hAnsi="Calibri" w:cs="Calibri"/>
                <w:sz w:val="20"/>
                <w:szCs w:val="20"/>
                <w:lang w:val="hr-HR"/>
              </w:rPr>
            </w:pPr>
            <w:r>
              <w:rPr>
                <w:rFonts w:ascii="Calibri" w:hAnsi="Calibri" w:cs="Calibri"/>
                <w:sz w:val="20"/>
                <w:szCs w:val="20"/>
                <w:lang w:val="hr-HR"/>
              </w:rPr>
              <w:t>Troškovi p</w:t>
            </w:r>
            <w:r w:rsidRPr="00A8422E">
              <w:rPr>
                <w:rFonts w:ascii="Calibri" w:hAnsi="Calibri" w:cs="Calibri"/>
                <w:sz w:val="20"/>
                <w:szCs w:val="20"/>
                <w:lang w:val="hr-HR"/>
              </w:rPr>
              <w:t>r</w:t>
            </w:r>
            <w:r>
              <w:rPr>
                <w:rFonts w:ascii="Calibri" w:hAnsi="Calibri" w:cs="Calibri"/>
                <w:sz w:val="20"/>
                <w:szCs w:val="20"/>
                <w:lang w:val="hr-HR"/>
              </w:rPr>
              <w:t xml:space="preserve">ipreme i provedbe dijela projekta vezanog uz poboljšanje energetske učinkovitosti ili mjera za korištenje obnovljivih izvora energije </w:t>
            </w:r>
          </w:p>
          <w:p w14:paraId="2CFB6346" w14:textId="77777777" w:rsidR="00132E7D" w:rsidRPr="00A8422E" w:rsidRDefault="00132E7D" w:rsidP="00F030D3">
            <w:pPr>
              <w:numPr>
                <w:ilvl w:val="0"/>
                <w:numId w:val="34"/>
              </w:numPr>
              <w:spacing w:before="40" w:after="40" w:line="300" w:lineRule="auto"/>
              <w:jc w:val="left"/>
              <w:rPr>
                <w:rFonts w:ascii="Calibri" w:hAnsi="Calibri" w:cs="Calibri"/>
                <w:sz w:val="20"/>
                <w:szCs w:val="20"/>
                <w:lang w:val="hr-HR"/>
              </w:rPr>
            </w:pPr>
            <w:r>
              <w:rPr>
                <w:rFonts w:ascii="Calibri" w:hAnsi="Calibri" w:cs="Calibri"/>
                <w:sz w:val="20"/>
                <w:szCs w:val="20"/>
                <w:lang w:val="hr-HR"/>
              </w:rPr>
              <w:t>Najvažniji popravci ili zamjene vezane uz sustav grijanja i</w:t>
            </w:r>
            <w:r w:rsidRPr="00A8422E">
              <w:rPr>
                <w:rFonts w:ascii="Calibri" w:hAnsi="Calibri" w:cs="Calibri"/>
                <w:sz w:val="20"/>
                <w:szCs w:val="20"/>
                <w:lang w:val="hr-HR"/>
              </w:rPr>
              <w:t xml:space="preserve"> </w:t>
            </w:r>
            <w:r>
              <w:rPr>
                <w:rFonts w:ascii="Calibri" w:hAnsi="Calibri" w:cs="Calibri"/>
                <w:sz w:val="20"/>
                <w:szCs w:val="20"/>
                <w:lang w:val="hr-HR"/>
              </w:rPr>
              <w:t>opskrbe toplom vodom</w:t>
            </w:r>
            <w:r w:rsidRPr="00A8422E">
              <w:rPr>
                <w:rFonts w:ascii="Calibri" w:hAnsi="Calibri" w:cs="Calibri"/>
                <w:sz w:val="20"/>
                <w:szCs w:val="20"/>
                <w:lang w:val="hr-HR"/>
              </w:rPr>
              <w:t xml:space="preserve">: </w:t>
            </w:r>
          </w:p>
          <w:p w14:paraId="431C4E7E" w14:textId="77777777" w:rsidR="00132E7D" w:rsidRDefault="00132E7D" w:rsidP="00F030D3">
            <w:pPr>
              <w:numPr>
                <w:ilvl w:val="0"/>
                <w:numId w:val="35"/>
              </w:numPr>
              <w:spacing w:before="40" w:after="40" w:line="300" w:lineRule="auto"/>
              <w:ind w:left="714" w:hanging="357"/>
              <w:jc w:val="left"/>
              <w:rPr>
                <w:rFonts w:ascii="Calibri" w:hAnsi="Calibri" w:cs="Calibri"/>
                <w:sz w:val="20"/>
                <w:szCs w:val="20"/>
                <w:lang w:val="hr-HR"/>
              </w:rPr>
            </w:pPr>
            <w:r>
              <w:rPr>
                <w:rFonts w:ascii="Calibri" w:hAnsi="Calibri" w:cs="Calibri"/>
                <w:sz w:val="20"/>
                <w:szCs w:val="20"/>
                <w:lang w:val="hr-HR"/>
              </w:rPr>
              <w:t>zamjena ili popravak toplinske stanice, grijača vode ili sustava opskrbe toplom vodom</w:t>
            </w:r>
          </w:p>
          <w:p w14:paraId="2FFC1E5A" w14:textId="77777777" w:rsidR="00132E7D" w:rsidRPr="00A8422E" w:rsidRDefault="00132E7D" w:rsidP="00F030D3">
            <w:pPr>
              <w:numPr>
                <w:ilvl w:val="0"/>
                <w:numId w:val="35"/>
              </w:numPr>
              <w:spacing w:before="40" w:after="40" w:line="300" w:lineRule="auto"/>
              <w:ind w:left="714" w:hanging="357"/>
              <w:jc w:val="left"/>
              <w:rPr>
                <w:rFonts w:ascii="Calibri" w:hAnsi="Calibri" w:cs="Calibri"/>
                <w:sz w:val="20"/>
                <w:szCs w:val="20"/>
                <w:lang w:val="hr-HR"/>
              </w:rPr>
            </w:pPr>
            <w:r>
              <w:rPr>
                <w:rFonts w:ascii="Calibri" w:hAnsi="Calibri" w:cs="Calibri"/>
                <w:sz w:val="20"/>
                <w:szCs w:val="20"/>
                <w:lang w:val="hr-HR"/>
              </w:rPr>
              <w:t>ugradnja balansirajućih ventila na granama grijanja</w:t>
            </w:r>
          </w:p>
          <w:p w14:paraId="76252FB8" w14:textId="77777777" w:rsidR="00132E7D" w:rsidRPr="00A8422E" w:rsidRDefault="00132E7D" w:rsidP="00F030D3">
            <w:pPr>
              <w:numPr>
                <w:ilvl w:val="0"/>
                <w:numId w:val="35"/>
              </w:numPr>
              <w:spacing w:before="40" w:after="40" w:line="300" w:lineRule="auto"/>
              <w:ind w:left="714" w:hanging="357"/>
              <w:jc w:val="left"/>
              <w:rPr>
                <w:rFonts w:ascii="Calibri" w:hAnsi="Calibri" w:cs="Calibri"/>
                <w:sz w:val="20"/>
                <w:szCs w:val="20"/>
                <w:lang w:val="hr-HR"/>
              </w:rPr>
            </w:pPr>
            <w:r>
              <w:rPr>
                <w:rFonts w:ascii="Calibri" w:hAnsi="Calibri" w:cs="Calibri"/>
                <w:sz w:val="20"/>
                <w:szCs w:val="20"/>
                <w:lang w:val="hr-HR"/>
              </w:rPr>
              <w:t xml:space="preserve">poboljšanje toplinske izolacije cijevi </w:t>
            </w:r>
          </w:p>
          <w:p w14:paraId="0BA49B8F" w14:textId="77777777" w:rsidR="00132E7D" w:rsidRPr="00A8422E" w:rsidRDefault="00132E7D" w:rsidP="00F030D3">
            <w:pPr>
              <w:numPr>
                <w:ilvl w:val="0"/>
                <w:numId w:val="35"/>
              </w:numPr>
              <w:spacing w:before="40" w:after="40" w:line="300" w:lineRule="auto"/>
              <w:ind w:left="714" w:hanging="357"/>
              <w:jc w:val="left"/>
              <w:rPr>
                <w:rFonts w:ascii="Calibri" w:hAnsi="Calibri" w:cs="Calibri"/>
                <w:sz w:val="20"/>
                <w:szCs w:val="20"/>
                <w:lang w:val="hr-HR"/>
              </w:rPr>
            </w:pPr>
            <w:r>
              <w:rPr>
                <w:rFonts w:ascii="Calibri" w:hAnsi="Calibri" w:cs="Calibri"/>
                <w:sz w:val="20"/>
                <w:szCs w:val="20"/>
                <w:lang w:val="hr-HR"/>
              </w:rPr>
              <w:t>zamjena cijevi i grijaćih uređaja</w:t>
            </w:r>
          </w:p>
          <w:p w14:paraId="44F07E36" w14:textId="77777777" w:rsidR="00132E7D" w:rsidRDefault="00132E7D" w:rsidP="00F030D3">
            <w:pPr>
              <w:numPr>
                <w:ilvl w:val="0"/>
                <w:numId w:val="35"/>
              </w:numPr>
              <w:spacing w:before="40" w:after="40" w:line="300" w:lineRule="auto"/>
              <w:ind w:left="714" w:hanging="357"/>
              <w:jc w:val="left"/>
              <w:rPr>
                <w:rFonts w:ascii="Calibri" w:hAnsi="Calibri" w:cs="Calibri"/>
                <w:sz w:val="20"/>
                <w:szCs w:val="20"/>
                <w:lang w:val="hr-HR"/>
              </w:rPr>
            </w:pPr>
            <w:r>
              <w:rPr>
                <w:rFonts w:ascii="Calibri" w:hAnsi="Calibri" w:cs="Calibri"/>
                <w:sz w:val="20"/>
                <w:szCs w:val="20"/>
                <w:lang w:val="hr-HR"/>
              </w:rPr>
              <w:t>ugradnja zasebnih mjernih sustava potrošnje toplinske energije i termostatskih ventila u stanovima</w:t>
            </w:r>
          </w:p>
          <w:p w14:paraId="5926BF79" w14:textId="77777777" w:rsidR="00132E7D" w:rsidRPr="00A8422E" w:rsidRDefault="00132E7D" w:rsidP="00F030D3">
            <w:pPr>
              <w:numPr>
                <w:ilvl w:val="0"/>
                <w:numId w:val="35"/>
              </w:numPr>
              <w:spacing w:before="40" w:after="40" w:line="300" w:lineRule="auto"/>
              <w:ind w:left="714" w:hanging="357"/>
              <w:jc w:val="left"/>
              <w:rPr>
                <w:rFonts w:ascii="Calibri" w:hAnsi="Calibri" w:cs="Calibri"/>
                <w:sz w:val="20"/>
                <w:szCs w:val="20"/>
                <w:lang w:val="hr-HR"/>
              </w:rPr>
            </w:pPr>
            <w:r>
              <w:rPr>
                <w:rFonts w:ascii="Calibri" w:hAnsi="Calibri" w:cs="Calibri"/>
                <w:sz w:val="20"/>
                <w:szCs w:val="20"/>
                <w:lang w:val="hr-HR"/>
              </w:rPr>
              <w:t xml:space="preserve">zamjena ili popravak cijevi i instalacija za opskrbu toplom vodom </w:t>
            </w:r>
          </w:p>
          <w:p w14:paraId="3E8C6757" w14:textId="77777777" w:rsidR="00132E7D" w:rsidRPr="00A8422E" w:rsidRDefault="00132E7D" w:rsidP="00F030D3">
            <w:pPr>
              <w:numPr>
                <w:ilvl w:val="0"/>
                <w:numId w:val="35"/>
              </w:numPr>
              <w:spacing w:before="40" w:after="40" w:line="300" w:lineRule="auto"/>
              <w:ind w:left="714" w:hanging="357"/>
              <w:jc w:val="left"/>
              <w:rPr>
                <w:rFonts w:ascii="Calibri" w:hAnsi="Calibri" w:cs="Calibri"/>
                <w:sz w:val="20"/>
                <w:szCs w:val="20"/>
                <w:lang w:val="hr-HR"/>
              </w:rPr>
            </w:pPr>
            <w:r>
              <w:rPr>
                <w:rFonts w:ascii="Calibri" w:hAnsi="Calibri" w:cs="Calibri"/>
                <w:sz w:val="20"/>
                <w:szCs w:val="20"/>
                <w:lang w:val="hr-HR"/>
              </w:rPr>
              <w:t xml:space="preserve">zamjena ili popravak sustava ventilacije </w:t>
            </w:r>
          </w:p>
          <w:p w14:paraId="2B653B0A" w14:textId="77777777" w:rsidR="00132E7D" w:rsidRPr="00A8422E" w:rsidRDefault="00132E7D" w:rsidP="00F030D3">
            <w:pPr>
              <w:numPr>
                <w:ilvl w:val="0"/>
                <w:numId w:val="33"/>
              </w:numPr>
              <w:spacing w:before="40" w:after="40" w:line="300" w:lineRule="auto"/>
              <w:ind w:left="357" w:hanging="357"/>
              <w:jc w:val="left"/>
              <w:rPr>
                <w:rFonts w:ascii="Calibri" w:hAnsi="Calibri" w:cs="Calibri"/>
                <w:sz w:val="20"/>
                <w:szCs w:val="20"/>
                <w:lang w:val="hr-HR"/>
              </w:rPr>
            </w:pPr>
            <w:r>
              <w:rPr>
                <w:rFonts w:ascii="Calibri" w:hAnsi="Calibri" w:cs="Calibri"/>
                <w:sz w:val="20"/>
                <w:szCs w:val="20"/>
                <w:lang w:val="hr-HR"/>
              </w:rPr>
              <w:t>Zamjena prozora i ulaznih vrata</w:t>
            </w:r>
            <w:r w:rsidRPr="00A8422E">
              <w:rPr>
                <w:rFonts w:ascii="Calibri" w:hAnsi="Calibri" w:cs="Calibri"/>
                <w:sz w:val="20"/>
                <w:szCs w:val="20"/>
                <w:lang w:val="hr-HR"/>
              </w:rPr>
              <w:t xml:space="preserve">: </w:t>
            </w:r>
          </w:p>
          <w:p w14:paraId="6596BE94" w14:textId="77777777" w:rsidR="00132E7D" w:rsidRPr="00A8422E" w:rsidRDefault="00132E7D" w:rsidP="00F030D3">
            <w:pPr>
              <w:numPr>
                <w:ilvl w:val="0"/>
                <w:numId w:val="35"/>
              </w:numPr>
              <w:spacing w:before="40" w:after="40" w:line="300" w:lineRule="auto"/>
              <w:ind w:left="714" w:hanging="357"/>
              <w:jc w:val="left"/>
              <w:rPr>
                <w:rFonts w:ascii="Calibri" w:hAnsi="Calibri" w:cs="Calibri"/>
                <w:sz w:val="20"/>
                <w:szCs w:val="20"/>
                <w:lang w:val="hr-HR"/>
              </w:rPr>
            </w:pPr>
            <w:r>
              <w:rPr>
                <w:rFonts w:ascii="Calibri" w:hAnsi="Calibri" w:cs="Calibri"/>
                <w:sz w:val="20"/>
                <w:szCs w:val="20"/>
                <w:lang w:val="hr-HR"/>
              </w:rPr>
              <w:t>zamjena prozora</w:t>
            </w:r>
          </w:p>
          <w:p w14:paraId="631A2CB3" w14:textId="77777777" w:rsidR="00132E7D" w:rsidRPr="00A8422E" w:rsidRDefault="00132E7D" w:rsidP="00F030D3">
            <w:pPr>
              <w:numPr>
                <w:ilvl w:val="0"/>
                <w:numId w:val="35"/>
              </w:numPr>
              <w:spacing w:before="40" w:after="40" w:line="300" w:lineRule="auto"/>
              <w:ind w:left="714" w:hanging="357"/>
              <w:jc w:val="left"/>
              <w:rPr>
                <w:rFonts w:ascii="Calibri" w:hAnsi="Calibri" w:cs="Calibri"/>
                <w:sz w:val="20"/>
                <w:szCs w:val="20"/>
                <w:lang w:val="hr-HR"/>
              </w:rPr>
            </w:pPr>
            <w:r>
              <w:rPr>
                <w:rFonts w:ascii="Calibri" w:hAnsi="Calibri" w:cs="Calibri"/>
                <w:sz w:val="20"/>
                <w:szCs w:val="20"/>
                <w:lang w:val="hr-HR"/>
              </w:rPr>
              <w:t>zamjena ulaznih vrata</w:t>
            </w:r>
          </w:p>
          <w:p w14:paraId="7E31AF4F" w14:textId="77777777" w:rsidR="00132E7D" w:rsidRPr="00A8422E" w:rsidRDefault="00132E7D" w:rsidP="00F030D3">
            <w:pPr>
              <w:numPr>
                <w:ilvl w:val="0"/>
                <w:numId w:val="33"/>
              </w:numPr>
              <w:spacing w:before="40" w:after="40" w:line="300" w:lineRule="auto"/>
              <w:ind w:left="357" w:hanging="357"/>
              <w:jc w:val="left"/>
              <w:rPr>
                <w:rFonts w:ascii="Calibri" w:hAnsi="Calibri" w:cs="Calibri"/>
                <w:sz w:val="20"/>
                <w:szCs w:val="20"/>
                <w:lang w:val="hr-HR"/>
              </w:rPr>
            </w:pPr>
            <w:r>
              <w:rPr>
                <w:rFonts w:ascii="Calibri" w:hAnsi="Calibri" w:cs="Calibri"/>
                <w:sz w:val="20"/>
                <w:szCs w:val="20"/>
                <w:lang w:val="hr-HR"/>
              </w:rPr>
              <w:t xml:space="preserve">Izolacija krova, uključujući izgradnju novog, kosog krova </w:t>
            </w:r>
            <w:r w:rsidRPr="00A8422E">
              <w:rPr>
                <w:rFonts w:ascii="Calibri" w:hAnsi="Calibri" w:cs="Calibri"/>
                <w:sz w:val="20"/>
                <w:szCs w:val="20"/>
                <w:lang w:val="hr-HR"/>
              </w:rPr>
              <w:t>(</w:t>
            </w:r>
            <w:r>
              <w:rPr>
                <w:rFonts w:ascii="Calibri" w:hAnsi="Calibri" w:cs="Calibri"/>
                <w:sz w:val="20"/>
                <w:szCs w:val="20"/>
                <w:lang w:val="hr-HR"/>
              </w:rPr>
              <w:t>građevinski radovi u potkrovlju nisu uključeni</w:t>
            </w:r>
            <w:r w:rsidRPr="00A8422E">
              <w:rPr>
                <w:rFonts w:ascii="Calibri" w:hAnsi="Calibri" w:cs="Calibri"/>
                <w:sz w:val="20"/>
                <w:szCs w:val="20"/>
                <w:lang w:val="hr-HR"/>
              </w:rPr>
              <w:t>)</w:t>
            </w:r>
          </w:p>
          <w:p w14:paraId="531F5333" w14:textId="77777777" w:rsidR="00132E7D" w:rsidRPr="00A8422E" w:rsidRDefault="00132E7D" w:rsidP="00F030D3">
            <w:pPr>
              <w:numPr>
                <w:ilvl w:val="0"/>
                <w:numId w:val="33"/>
              </w:numPr>
              <w:spacing w:before="40" w:after="40" w:line="300" w:lineRule="auto"/>
              <w:ind w:left="357" w:hanging="357"/>
              <w:jc w:val="left"/>
              <w:rPr>
                <w:rFonts w:ascii="Calibri" w:hAnsi="Calibri" w:cs="Calibri"/>
                <w:sz w:val="20"/>
                <w:szCs w:val="20"/>
                <w:lang w:val="hr-HR"/>
              </w:rPr>
            </w:pPr>
            <w:r w:rsidRPr="00A8422E">
              <w:rPr>
                <w:rFonts w:ascii="Calibri" w:hAnsi="Calibri" w:cs="Calibri"/>
                <w:sz w:val="20"/>
                <w:szCs w:val="20"/>
                <w:lang w:val="hr-HR"/>
              </w:rPr>
              <w:t>I</w:t>
            </w:r>
            <w:r>
              <w:rPr>
                <w:rFonts w:ascii="Calibri" w:hAnsi="Calibri" w:cs="Calibri"/>
                <w:sz w:val="20"/>
                <w:szCs w:val="20"/>
                <w:lang w:val="hr-HR"/>
              </w:rPr>
              <w:t>zolacija fasade</w:t>
            </w:r>
            <w:r w:rsidRPr="00A8422E">
              <w:rPr>
                <w:rFonts w:ascii="Calibri" w:hAnsi="Calibri" w:cs="Calibri"/>
                <w:sz w:val="20"/>
                <w:szCs w:val="20"/>
                <w:lang w:val="hr-HR"/>
              </w:rPr>
              <w:t xml:space="preserve"> </w:t>
            </w:r>
          </w:p>
          <w:p w14:paraId="73C79BC6" w14:textId="77777777" w:rsidR="00132E7D" w:rsidRPr="00A8422E" w:rsidRDefault="00132E7D" w:rsidP="00F030D3">
            <w:pPr>
              <w:numPr>
                <w:ilvl w:val="0"/>
                <w:numId w:val="33"/>
              </w:numPr>
              <w:spacing w:before="40" w:after="40" w:line="300" w:lineRule="auto"/>
              <w:ind w:left="357" w:hanging="357"/>
              <w:jc w:val="left"/>
              <w:rPr>
                <w:rFonts w:ascii="Calibri" w:hAnsi="Calibri" w:cs="Calibri"/>
                <w:sz w:val="20"/>
                <w:szCs w:val="20"/>
                <w:lang w:val="hr-HR"/>
              </w:rPr>
            </w:pPr>
            <w:r w:rsidRPr="00A8422E">
              <w:rPr>
                <w:rFonts w:ascii="Calibri" w:hAnsi="Calibri" w:cs="Calibri"/>
                <w:sz w:val="20"/>
                <w:szCs w:val="20"/>
                <w:lang w:val="hr-HR"/>
              </w:rPr>
              <w:t>I</w:t>
            </w:r>
            <w:r>
              <w:rPr>
                <w:rFonts w:ascii="Calibri" w:hAnsi="Calibri" w:cs="Calibri"/>
                <w:sz w:val="20"/>
                <w:szCs w:val="20"/>
                <w:lang w:val="hr-HR"/>
              </w:rPr>
              <w:t xml:space="preserve">zolacija podrumskog stropa </w:t>
            </w:r>
          </w:p>
          <w:p w14:paraId="4BAFE960" w14:textId="77777777" w:rsidR="00132E7D" w:rsidRPr="00A8422E" w:rsidRDefault="00132E7D" w:rsidP="00F030D3">
            <w:pPr>
              <w:numPr>
                <w:ilvl w:val="0"/>
                <w:numId w:val="33"/>
              </w:numPr>
              <w:spacing w:before="40" w:after="40" w:line="300" w:lineRule="auto"/>
              <w:ind w:left="357" w:hanging="357"/>
              <w:jc w:val="left"/>
              <w:rPr>
                <w:rFonts w:ascii="Calibri" w:hAnsi="Calibri" w:cs="Calibri"/>
                <w:sz w:val="20"/>
                <w:szCs w:val="20"/>
                <w:lang w:val="hr-HR"/>
              </w:rPr>
            </w:pPr>
            <w:r>
              <w:rPr>
                <w:rFonts w:ascii="Calibri" w:hAnsi="Calibri" w:cs="Calibri"/>
                <w:sz w:val="20"/>
                <w:szCs w:val="20"/>
                <w:lang w:val="hr-HR"/>
              </w:rPr>
              <w:t xml:space="preserve">Ugradnja sustava alternativnih izvora energije </w:t>
            </w:r>
            <w:r w:rsidRPr="00A8422E">
              <w:rPr>
                <w:rFonts w:ascii="Calibri" w:hAnsi="Calibri" w:cs="Calibri"/>
                <w:sz w:val="20"/>
                <w:szCs w:val="20"/>
                <w:lang w:val="hr-HR"/>
              </w:rPr>
              <w:t>(sun</w:t>
            </w:r>
            <w:r>
              <w:rPr>
                <w:rFonts w:ascii="Calibri" w:hAnsi="Calibri" w:cs="Calibri"/>
                <w:sz w:val="20"/>
                <w:szCs w:val="20"/>
                <w:lang w:val="hr-HR"/>
              </w:rPr>
              <w:t>ce</w:t>
            </w:r>
            <w:r w:rsidRPr="00A8422E">
              <w:rPr>
                <w:rFonts w:ascii="Calibri" w:hAnsi="Calibri" w:cs="Calibri"/>
                <w:sz w:val="20"/>
                <w:szCs w:val="20"/>
                <w:lang w:val="hr-HR"/>
              </w:rPr>
              <w:t xml:space="preserve">, </w:t>
            </w:r>
            <w:r>
              <w:rPr>
                <w:rFonts w:ascii="Calibri" w:hAnsi="Calibri" w:cs="Calibri"/>
                <w:sz w:val="20"/>
                <w:szCs w:val="20"/>
                <w:lang w:val="hr-HR"/>
              </w:rPr>
              <w:t>vjetar, itd</w:t>
            </w:r>
            <w:r w:rsidRPr="00A8422E">
              <w:rPr>
                <w:rFonts w:ascii="Calibri" w:hAnsi="Calibri" w:cs="Calibri"/>
                <w:sz w:val="20"/>
                <w:szCs w:val="20"/>
                <w:lang w:val="hr-HR"/>
              </w:rPr>
              <w:t xml:space="preserve">.) </w:t>
            </w:r>
          </w:p>
          <w:p w14:paraId="3698D7D3" w14:textId="77777777" w:rsidR="00132E7D" w:rsidRPr="00A8422E" w:rsidRDefault="00132E7D" w:rsidP="00F030D3">
            <w:pPr>
              <w:numPr>
                <w:ilvl w:val="0"/>
                <w:numId w:val="33"/>
              </w:numPr>
              <w:spacing w:before="40" w:after="40" w:line="300" w:lineRule="auto"/>
              <w:ind w:left="357" w:hanging="357"/>
              <w:jc w:val="left"/>
              <w:rPr>
                <w:rFonts w:ascii="Calibri" w:hAnsi="Calibri" w:cs="Calibri"/>
                <w:sz w:val="20"/>
                <w:szCs w:val="20"/>
                <w:lang w:val="hr-HR"/>
              </w:rPr>
            </w:pPr>
            <w:r>
              <w:rPr>
                <w:rFonts w:ascii="Calibri" w:hAnsi="Calibri" w:cs="Calibri"/>
                <w:sz w:val="20"/>
                <w:szCs w:val="20"/>
                <w:lang w:val="hr-HR"/>
              </w:rPr>
              <w:t>Glavni popravci dizala ili ugradnja energetski učinkovitijih dizala</w:t>
            </w:r>
          </w:p>
          <w:p w14:paraId="209C8C3A" w14:textId="77777777" w:rsidR="00132E7D" w:rsidRPr="000E0DF8" w:rsidRDefault="00132E7D" w:rsidP="00F030D3">
            <w:pPr>
              <w:numPr>
                <w:ilvl w:val="0"/>
                <w:numId w:val="33"/>
              </w:numPr>
              <w:spacing w:before="40" w:after="40" w:line="300" w:lineRule="auto"/>
              <w:ind w:left="357" w:hanging="357"/>
              <w:jc w:val="left"/>
              <w:rPr>
                <w:rFonts w:ascii="Calibri" w:hAnsi="Calibri" w:cs="Calibri"/>
                <w:sz w:val="20"/>
                <w:szCs w:val="20"/>
                <w:lang w:val="hr-HR"/>
              </w:rPr>
            </w:pPr>
            <w:r>
              <w:rPr>
                <w:rFonts w:ascii="Calibri" w:hAnsi="Calibri" w:cs="Calibri"/>
                <w:sz w:val="20"/>
                <w:szCs w:val="20"/>
                <w:lang w:val="hr-HR"/>
              </w:rPr>
              <w:t>Zamjena ili popravak zajedničkih sustava u zgradi (sustav odvodnje, električne instalacije, protupožarne instalacije, vodoopskrbne cijevi i sustavi ventilacije)</w:t>
            </w:r>
          </w:p>
        </w:tc>
      </w:tr>
    </w:tbl>
    <w:p w14:paraId="41FC4169" w14:textId="77777777" w:rsidR="00132E7D" w:rsidRPr="00A8422E" w:rsidRDefault="00132E7D" w:rsidP="00F030D3">
      <w:pPr>
        <w:spacing w:before="40" w:after="40" w:line="300" w:lineRule="auto"/>
        <w:rPr>
          <w:rFonts w:ascii="Calibri" w:hAnsi="Calibri" w:cs="Calibri"/>
          <w:lang w:val="hr-HR"/>
        </w:rPr>
      </w:pPr>
    </w:p>
    <w:p w14:paraId="05662966" w14:textId="77777777" w:rsidR="00132E7D" w:rsidRPr="00AE17C1" w:rsidRDefault="00132E7D" w:rsidP="00F030D3">
      <w:pPr>
        <w:spacing w:before="40" w:after="40" w:line="300" w:lineRule="auto"/>
        <w:rPr>
          <w:rFonts w:ascii="Calibri" w:hAnsi="Calibri" w:cs="Calibri"/>
          <w:b/>
          <w:bCs/>
          <w:lang w:val="hr-HR"/>
        </w:rPr>
      </w:pPr>
      <w:r>
        <w:rPr>
          <w:rFonts w:ascii="Calibri" w:hAnsi="Calibri" w:cs="Calibri"/>
          <w:lang w:val="hr-HR"/>
        </w:rPr>
        <w:t xml:space="preserve">Pokazatelji vezani uz </w:t>
      </w:r>
      <w:r w:rsidRPr="00AE17C1">
        <w:rPr>
          <w:rFonts w:ascii="Calibri" w:hAnsi="Calibri" w:cs="Calibri"/>
          <w:u w:val="single"/>
          <w:lang w:val="hr-HR"/>
        </w:rPr>
        <w:t>kredit</w:t>
      </w:r>
      <w:r>
        <w:rPr>
          <w:rFonts w:ascii="Calibri" w:hAnsi="Calibri" w:cs="Calibri"/>
          <w:u w:val="single"/>
          <w:lang w:val="hr-HR"/>
        </w:rPr>
        <w:t>ni proizvod za poboljša</w:t>
      </w:r>
      <w:r w:rsidRPr="00AE17C1">
        <w:rPr>
          <w:rFonts w:ascii="Calibri" w:hAnsi="Calibri" w:cs="Calibri"/>
          <w:u w:val="single"/>
          <w:lang w:val="hr-HR"/>
        </w:rPr>
        <w:t>nje energetske učinkovitosti stambenih zgrada</w:t>
      </w:r>
      <w:r>
        <w:rPr>
          <w:rFonts w:ascii="Calibri" w:hAnsi="Calibri" w:cs="Calibri"/>
          <w:lang w:val="hr-HR"/>
        </w:rPr>
        <w:t xml:space="preserve"> trebali bi biti usklađeni s pokazateljima </w:t>
      </w:r>
      <w:r w:rsidRPr="005F2B75">
        <w:rPr>
          <w:rFonts w:ascii="Calibri" w:hAnsi="Calibri" w:cs="Calibri"/>
          <w:lang w:val="hr-HR"/>
        </w:rPr>
        <w:t>iz operativnog programa na temelju kojeg se vrši financiranje u državama članicama koje su odabrale</w:t>
      </w:r>
      <w:r>
        <w:rPr>
          <w:rFonts w:ascii="Calibri" w:hAnsi="Calibri" w:cs="Calibri"/>
          <w:lang w:val="hr-HR"/>
        </w:rPr>
        <w:t xml:space="preserve"> ovu mogućnost, kao i s onima iz </w:t>
      </w:r>
      <w:r w:rsidRPr="00DD58AD">
        <w:rPr>
          <w:rFonts w:ascii="Calibri" w:hAnsi="Calibri" w:cs="Calibri"/>
          <w:lang w:val="hr-HR"/>
        </w:rPr>
        <w:t>provedene ex-ante</w:t>
      </w:r>
      <w:r>
        <w:rPr>
          <w:rFonts w:ascii="Calibri" w:hAnsi="Calibri" w:cs="Calibri"/>
          <w:i/>
          <w:iCs/>
          <w:lang w:val="hr-HR"/>
        </w:rPr>
        <w:t xml:space="preserve"> </w:t>
      </w:r>
      <w:r>
        <w:rPr>
          <w:rFonts w:ascii="Calibri" w:hAnsi="Calibri" w:cs="Calibri"/>
          <w:lang w:val="hr-HR"/>
        </w:rPr>
        <w:t>procjene. Komisijin aktualni prijedlog sadrži popis minimalnih primjenjivih pokazatelja:</w:t>
      </w:r>
    </w:p>
    <w:p w14:paraId="3B4ECFC6" w14:textId="77777777" w:rsidR="00132E7D" w:rsidRPr="00A8422E" w:rsidRDefault="00132E7D" w:rsidP="00F030D3">
      <w:pPr>
        <w:numPr>
          <w:ilvl w:val="0"/>
          <w:numId w:val="36"/>
        </w:numPr>
        <w:spacing w:before="40" w:after="40" w:line="300" w:lineRule="auto"/>
        <w:ind w:left="357" w:hanging="357"/>
        <w:jc w:val="left"/>
        <w:rPr>
          <w:rFonts w:ascii="Calibri" w:hAnsi="Calibri" w:cs="Calibri"/>
          <w:lang w:val="hr-HR"/>
        </w:rPr>
      </w:pPr>
      <w:r w:rsidRPr="00A8422E">
        <w:rPr>
          <w:rFonts w:ascii="Calibri" w:hAnsi="Calibri" w:cs="Calibri"/>
          <w:lang w:val="hr-HR"/>
        </w:rPr>
        <w:t xml:space="preserve">broj i </w:t>
      </w:r>
      <w:r>
        <w:rPr>
          <w:rFonts w:ascii="Calibri" w:hAnsi="Calibri" w:cs="Calibri"/>
          <w:lang w:val="hr-HR"/>
        </w:rPr>
        <w:t>ukupnu vrijednost</w:t>
      </w:r>
      <w:r w:rsidRPr="00A8422E">
        <w:rPr>
          <w:rFonts w:ascii="Calibri" w:hAnsi="Calibri" w:cs="Calibri"/>
          <w:lang w:val="hr-HR"/>
        </w:rPr>
        <w:t xml:space="preserve"> zajmova</w:t>
      </w:r>
    </w:p>
    <w:p w14:paraId="5985AEBA" w14:textId="77777777" w:rsidR="00132E7D" w:rsidRPr="00A8422E" w:rsidRDefault="00132E7D" w:rsidP="00F030D3">
      <w:pPr>
        <w:numPr>
          <w:ilvl w:val="0"/>
          <w:numId w:val="36"/>
        </w:numPr>
        <w:spacing w:before="40" w:after="40" w:line="300" w:lineRule="auto"/>
        <w:jc w:val="left"/>
        <w:rPr>
          <w:rFonts w:ascii="Calibri" w:hAnsi="Calibri" w:cs="Calibri"/>
          <w:lang w:val="hr-HR"/>
        </w:rPr>
      </w:pPr>
      <w:r w:rsidRPr="00A8422E">
        <w:rPr>
          <w:rFonts w:ascii="Calibri" w:hAnsi="Calibri" w:cs="Calibri"/>
          <w:lang w:val="hr-HR"/>
        </w:rPr>
        <w:t>broj</w:t>
      </w:r>
      <w:r>
        <w:rPr>
          <w:rFonts w:ascii="Calibri" w:hAnsi="Calibri" w:cs="Calibri"/>
          <w:lang w:val="hr-HR"/>
        </w:rPr>
        <w:t xml:space="preserve"> i</w:t>
      </w:r>
      <w:r w:rsidRPr="00A8422E">
        <w:rPr>
          <w:rFonts w:ascii="Calibri" w:hAnsi="Calibri" w:cs="Calibri"/>
          <w:lang w:val="hr-HR"/>
        </w:rPr>
        <w:t xml:space="preserve"> veličin</w:t>
      </w:r>
      <w:r>
        <w:rPr>
          <w:rFonts w:ascii="Calibri" w:hAnsi="Calibri" w:cs="Calibri"/>
          <w:lang w:val="hr-HR"/>
        </w:rPr>
        <w:t>u</w:t>
      </w:r>
      <w:r w:rsidRPr="00A8422E">
        <w:rPr>
          <w:rFonts w:ascii="Calibri" w:hAnsi="Calibri" w:cs="Calibri"/>
          <w:lang w:val="hr-HR"/>
        </w:rPr>
        <w:t xml:space="preserve"> renoviran</w:t>
      </w:r>
      <w:r>
        <w:rPr>
          <w:rFonts w:ascii="Calibri" w:hAnsi="Calibri" w:cs="Calibri"/>
          <w:lang w:val="hr-HR"/>
        </w:rPr>
        <w:t xml:space="preserve">ih kuća u kojima stanuje više obitelji </w:t>
      </w:r>
    </w:p>
    <w:p w14:paraId="788D0091" w14:textId="77777777" w:rsidR="00132E7D" w:rsidRPr="00A8422E" w:rsidRDefault="00132E7D" w:rsidP="00F030D3">
      <w:pPr>
        <w:numPr>
          <w:ilvl w:val="0"/>
          <w:numId w:val="36"/>
        </w:numPr>
        <w:spacing w:before="40" w:after="40" w:line="300" w:lineRule="auto"/>
        <w:jc w:val="left"/>
        <w:rPr>
          <w:rFonts w:ascii="Calibri" w:hAnsi="Calibri" w:cs="Calibri"/>
          <w:lang w:val="hr-HR"/>
        </w:rPr>
      </w:pPr>
      <w:r w:rsidRPr="00A8422E">
        <w:rPr>
          <w:rFonts w:ascii="Calibri" w:hAnsi="Calibri" w:cs="Calibri"/>
          <w:lang w:val="hr-HR"/>
        </w:rPr>
        <w:t>broj</w:t>
      </w:r>
      <w:r>
        <w:rPr>
          <w:rFonts w:ascii="Calibri" w:hAnsi="Calibri" w:cs="Calibri"/>
          <w:lang w:val="hr-HR"/>
        </w:rPr>
        <w:t xml:space="preserve"> i </w:t>
      </w:r>
      <w:r w:rsidRPr="00A8422E">
        <w:rPr>
          <w:rFonts w:ascii="Calibri" w:hAnsi="Calibri" w:cs="Calibri"/>
          <w:lang w:val="hr-HR"/>
        </w:rPr>
        <w:t>veličin</w:t>
      </w:r>
      <w:r>
        <w:rPr>
          <w:rFonts w:ascii="Calibri" w:hAnsi="Calibri" w:cs="Calibri"/>
          <w:lang w:val="hr-HR"/>
        </w:rPr>
        <w:t>u</w:t>
      </w:r>
      <w:r w:rsidRPr="00A8422E">
        <w:rPr>
          <w:rFonts w:ascii="Calibri" w:hAnsi="Calibri" w:cs="Calibri"/>
          <w:lang w:val="hr-HR"/>
        </w:rPr>
        <w:t xml:space="preserve"> renoviran</w:t>
      </w:r>
      <w:r>
        <w:rPr>
          <w:rFonts w:ascii="Calibri" w:hAnsi="Calibri" w:cs="Calibri"/>
          <w:lang w:val="hr-HR"/>
        </w:rPr>
        <w:t>ih</w:t>
      </w:r>
      <w:r w:rsidRPr="00A8422E">
        <w:rPr>
          <w:rFonts w:ascii="Calibri" w:hAnsi="Calibri" w:cs="Calibri"/>
          <w:lang w:val="hr-HR"/>
        </w:rPr>
        <w:t xml:space="preserve"> višestamben</w:t>
      </w:r>
      <w:r>
        <w:rPr>
          <w:rFonts w:ascii="Calibri" w:hAnsi="Calibri" w:cs="Calibri"/>
          <w:lang w:val="hr-HR"/>
        </w:rPr>
        <w:t>ih</w:t>
      </w:r>
      <w:r w:rsidRPr="00A8422E">
        <w:rPr>
          <w:rFonts w:ascii="Calibri" w:hAnsi="Calibri" w:cs="Calibri"/>
          <w:lang w:val="hr-HR"/>
        </w:rPr>
        <w:t xml:space="preserve"> zgrad</w:t>
      </w:r>
      <w:r>
        <w:rPr>
          <w:rFonts w:ascii="Calibri" w:hAnsi="Calibri" w:cs="Calibri"/>
          <w:lang w:val="hr-HR"/>
        </w:rPr>
        <w:t>a</w:t>
      </w:r>
    </w:p>
    <w:p w14:paraId="545BA333" w14:textId="77777777" w:rsidR="00132E7D" w:rsidRPr="00A8422E" w:rsidRDefault="00132E7D" w:rsidP="00F030D3">
      <w:pPr>
        <w:numPr>
          <w:ilvl w:val="0"/>
          <w:numId w:val="36"/>
        </w:numPr>
        <w:spacing w:before="40" w:after="40" w:line="300" w:lineRule="auto"/>
        <w:jc w:val="left"/>
        <w:rPr>
          <w:rFonts w:ascii="Calibri" w:hAnsi="Calibri" w:cs="Calibri"/>
          <w:lang w:val="hr-HR"/>
        </w:rPr>
      </w:pPr>
      <w:r>
        <w:rPr>
          <w:rFonts w:ascii="Calibri" w:hAnsi="Calibri" w:cs="Calibri"/>
          <w:lang w:val="hr-HR"/>
        </w:rPr>
        <w:t>poboljšanja energetske učinkovitosti kuća i zgrada</w:t>
      </w:r>
      <w:r w:rsidRPr="00A8422E">
        <w:rPr>
          <w:rFonts w:ascii="Calibri" w:hAnsi="Calibri" w:cs="Calibri"/>
          <w:lang w:val="hr-HR"/>
        </w:rPr>
        <w:t xml:space="preserve"> (uštede)  </w:t>
      </w:r>
    </w:p>
    <w:p w14:paraId="5A90C45A" w14:textId="77777777" w:rsidR="00132E7D" w:rsidRPr="001B0447" w:rsidRDefault="00132E7D" w:rsidP="00F030D3">
      <w:pPr>
        <w:spacing w:before="40" w:after="40" w:line="300" w:lineRule="auto"/>
        <w:rPr>
          <w:rFonts w:ascii="Calibri" w:hAnsi="Calibri" w:cs="Calibri"/>
          <w:lang w:val="hr-HR"/>
        </w:rPr>
      </w:pPr>
      <w:r>
        <w:rPr>
          <w:rFonts w:ascii="Calibri" w:hAnsi="Calibri" w:cs="Calibri"/>
          <w:lang w:val="hr-HR"/>
        </w:rPr>
        <w:t>Komisijin</w:t>
      </w:r>
      <w:r w:rsidRPr="00A8422E">
        <w:rPr>
          <w:rFonts w:ascii="Calibri" w:hAnsi="Calibri" w:cs="Calibri"/>
          <w:lang w:val="hr-HR"/>
        </w:rPr>
        <w:t xml:space="preserve"> </w:t>
      </w:r>
      <w:r w:rsidRPr="001B0447">
        <w:rPr>
          <w:rFonts w:ascii="Calibri" w:hAnsi="Calibri" w:cs="Calibri"/>
          <w:i/>
          <w:iCs/>
          <w:lang w:val="hr-HR"/>
        </w:rPr>
        <w:t>off-the-shelf</w:t>
      </w:r>
      <w:r w:rsidRPr="00A8422E">
        <w:rPr>
          <w:rFonts w:ascii="Calibri" w:hAnsi="Calibri" w:cs="Calibri"/>
          <w:lang w:val="hr-HR"/>
        </w:rPr>
        <w:t xml:space="preserve"> instrument </w:t>
      </w:r>
      <w:r>
        <w:rPr>
          <w:rFonts w:ascii="Calibri" w:hAnsi="Calibri" w:cs="Calibri"/>
          <w:lang w:val="hr-HR"/>
        </w:rPr>
        <w:t xml:space="preserve">koristio bi se kao samostalni fond ili u okviru strukture većeg </w:t>
      </w:r>
      <w:r w:rsidRPr="00DD58AD">
        <w:rPr>
          <w:rFonts w:ascii="Calibri" w:hAnsi="Calibri" w:cs="Calibri"/>
          <w:lang w:val="hr-HR"/>
        </w:rPr>
        <w:t>holding</w:t>
      </w:r>
      <w:r>
        <w:rPr>
          <w:rFonts w:ascii="Calibri" w:hAnsi="Calibri" w:cs="Calibri"/>
          <w:lang w:val="hr-HR"/>
        </w:rPr>
        <w:t xml:space="preserve"> fonda. </w:t>
      </w:r>
    </w:p>
    <w:p w14:paraId="7EC98EF4" w14:textId="33392EC9" w:rsidR="00132E7D" w:rsidRPr="00CF2B98" w:rsidRDefault="00132E7D" w:rsidP="00F030D3">
      <w:pPr>
        <w:spacing w:before="40" w:after="40" w:line="300" w:lineRule="auto"/>
        <w:rPr>
          <w:rFonts w:ascii="Calibri" w:hAnsi="Calibri" w:cs="Calibri"/>
          <w:b/>
          <w:bCs/>
          <w:sz w:val="28"/>
          <w:szCs w:val="28"/>
          <w:lang w:val="sv-SE"/>
        </w:rPr>
      </w:pPr>
    </w:p>
    <w:p w14:paraId="157E13D0" w14:textId="77777777" w:rsidR="00132E7D" w:rsidRPr="0057750E" w:rsidRDefault="00132E7D" w:rsidP="00F030D3">
      <w:pPr>
        <w:pStyle w:val="14-Heading1"/>
        <w:spacing w:before="40" w:after="40" w:line="300" w:lineRule="auto"/>
        <w:rPr>
          <w:lang w:val="hr-HR"/>
        </w:rPr>
      </w:pPr>
      <w:bookmarkStart w:id="15" w:name="_Toc394052282"/>
      <w:r w:rsidRPr="00CF2B98">
        <w:rPr>
          <w:lang w:val="sv-SE"/>
        </w:rPr>
        <w:t>6.</w:t>
      </w:r>
      <w:r w:rsidRPr="00503F00">
        <w:rPr>
          <w:lang w:val="sv-SE"/>
        </w:rPr>
        <w:tab/>
      </w:r>
      <w:r w:rsidRPr="0057750E">
        <w:rPr>
          <w:lang w:val="hr-HR"/>
        </w:rPr>
        <w:t>Zaključci i preporuke</w:t>
      </w:r>
      <w:bookmarkEnd w:id="15"/>
      <w:r w:rsidRPr="0057750E">
        <w:rPr>
          <w:lang w:val="hr-HR"/>
        </w:rPr>
        <w:t xml:space="preserve"> </w:t>
      </w:r>
    </w:p>
    <w:p w14:paraId="20CADF11" w14:textId="77777777" w:rsidR="00132E7D" w:rsidRPr="00CF2B98" w:rsidRDefault="00132E7D" w:rsidP="00F030D3">
      <w:pPr>
        <w:pStyle w:val="14-Heading2"/>
        <w:spacing w:before="40" w:after="40" w:line="300" w:lineRule="auto"/>
        <w:rPr>
          <w:sz w:val="22"/>
          <w:szCs w:val="22"/>
          <w:lang w:val="hr-HR"/>
        </w:rPr>
      </w:pPr>
      <w:bookmarkStart w:id="16" w:name="_Toc394052283"/>
      <w:r w:rsidRPr="00CF2B98">
        <w:rPr>
          <w:sz w:val="22"/>
          <w:szCs w:val="22"/>
          <w:lang w:val="hr-HR"/>
        </w:rPr>
        <w:t>6.1</w:t>
      </w:r>
      <w:r w:rsidRPr="00CF2B98">
        <w:rPr>
          <w:sz w:val="22"/>
          <w:szCs w:val="22"/>
          <w:lang w:val="hr-HR"/>
        </w:rPr>
        <w:tab/>
        <w:t>Zaključci</w:t>
      </w:r>
      <w:bookmarkEnd w:id="16"/>
      <w:r w:rsidRPr="00CF2B98">
        <w:rPr>
          <w:sz w:val="22"/>
          <w:szCs w:val="22"/>
          <w:lang w:val="hr-HR"/>
        </w:rPr>
        <w:t xml:space="preserve"> </w:t>
      </w:r>
    </w:p>
    <w:p w14:paraId="21DC541D" w14:textId="179B0BF5" w:rsidR="00132E7D" w:rsidRDefault="00132E7D" w:rsidP="00F030D3">
      <w:pPr>
        <w:spacing w:before="40" w:after="40" w:line="300" w:lineRule="auto"/>
        <w:rPr>
          <w:rFonts w:ascii="Calibri" w:hAnsi="Calibri" w:cs="Calibri"/>
          <w:lang w:val="hr-HR"/>
        </w:rPr>
      </w:pPr>
      <w:r>
        <w:rPr>
          <w:rFonts w:ascii="Calibri" w:hAnsi="Calibri" w:cs="Calibri"/>
          <w:lang w:val="hr-HR"/>
        </w:rPr>
        <w:lastRenderedPageBreak/>
        <w:t>JESSICA je u mnogim zemljama Europske unije tek u početnom razdoblju provedbe te još nisu izvršene sveobuhvatne procjene uspješnosti. Naziv JESSICA neće koristiti za razdoblje 2014. - 2020., no sam pristup je i dalje otvoren za novu financijsku perspektivu. Komisija ga aktivno promiče kao sredstvo za postizanje veće vrijednosti za novac koji se dodjeljuje iz Strukturnih i investicijskih fondova, kao i za unaprjeđivanje održivosti intervencija u okviru budućih operativnih programa.</w:t>
      </w:r>
    </w:p>
    <w:p w14:paraId="1C939436" w14:textId="77777777" w:rsidR="00132E7D" w:rsidRPr="0057750E" w:rsidRDefault="00132E7D" w:rsidP="00F030D3">
      <w:pPr>
        <w:spacing w:before="40" w:after="40" w:line="300" w:lineRule="auto"/>
        <w:rPr>
          <w:rFonts w:ascii="Calibri" w:hAnsi="Calibri" w:cs="Calibri"/>
          <w:lang w:val="hr-HR"/>
        </w:rPr>
      </w:pPr>
      <w:r>
        <w:rPr>
          <w:rFonts w:ascii="Calibri" w:hAnsi="Calibri" w:cs="Calibri"/>
          <w:lang w:val="hr-HR"/>
        </w:rPr>
        <w:t xml:space="preserve">Dosad se provedba inicijative pokazala zahtjevnom čak i u državama članicama s ustaljenom suradnjom javnog i privatnog sektora na području investicija u održivi urbani razvoj. Općenito govoreći, fondovi su nakon osnivanja sporo ulazili u investicije. Čini se da će u razdoblju 2013. – 2015. biti zabilježen najveći broj investicija, no tek ćemo u razdoblju 2016. – 2017. imati jasnu sliku o stvarnoj apsorpciji sredstava. </w:t>
      </w:r>
    </w:p>
    <w:p w14:paraId="64A98D84" w14:textId="77777777" w:rsidR="00132E7D" w:rsidRPr="0057750E" w:rsidRDefault="00132E7D" w:rsidP="00F030D3">
      <w:pPr>
        <w:spacing w:before="40" w:after="40" w:line="300" w:lineRule="auto"/>
        <w:rPr>
          <w:rFonts w:ascii="Calibri" w:hAnsi="Calibri" w:cs="Calibri"/>
          <w:lang w:val="hr-HR"/>
        </w:rPr>
      </w:pPr>
    </w:p>
    <w:p w14:paraId="57A7001B" w14:textId="77777777" w:rsidR="00132E7D" w:rsidRPr="0057750E" w:rsidRDefault="00132E7D" w:rsidP="00F030D3">
      <w:pPr>
        <w:spacing w:before="40" w:after="40" w:line="300" w:lineRule="auto"/>
        <w:rPr>
          <w:rFonts w:ascii="Calibri" w:hAnsi="Calibri" w:cs="Calibri"/>
          <w:b/>
          <w:bCs/>
          <w:i/>
          <w:iCs/>
          <w:lang w:val="hr-HR"/>
        </w:rPr>
      </w:pPr>
      <w:r w:rsidRPr="0057750E">
        <w:rPr>
          <w:rFonts w:ascii="Calibri" w:hAnsi="Calibri" w:cs="Calibri"/>
          <w:b/>
          <w:bCs/>
          <w:i/>
          <w:iCs/>
          <w:lang w:val="hr-HR"/>
        </w:rPr>
        <w:t xml:space="preserve">Instrumenti urbanog razvoja </w:t>
      </w:r>
    </w:p>
    <w:p w14:paraId="3CBBEF04" w14:textId="77777777" w:rsidR="00132E7D" w:rsidRDefault="00132E7D" w:rsidP="00F030D3">
      <w:pPr>
        <w:spacing w:before="40" w:after="40" w:line="300" w:lineRule="auto"/>
        <w:rPr>
          <w:rFonts w:ascii="Calibri" w:hAnsi="Calibri" w:cs="Calibri"/>
          <w:lang w:val="hr-HR"/>
        </w:rPr>
      </w:pPr>
      <w:r>
        <w:rPr>
          <w:rFonts w:ascii="Calibri" w:hAnsi="Calibri" w:cs="Calibri"/>
          <w:lang w:val="hr-HR"/>
        </w:rPr>
        <w:t xml:space="preserve">Istraživanje pokazuje da hrvatska tržišta komercijalnih nekretnina nisu u potpunosti funkcionalna, što se u jednakoj mjeri pripisuje </w:t>
      </w:r>
      <w:r w:rsidRPr="0079623E">
        <w:rPr>
          <w:rFonts w:ascii="Calibri" w:hAnsi="Calibri" w:cs="Calibri"/>
          <w:i/>
          <w:iCs/>
          <w:lang w:val="hr-HR"/>
        </w:rPr>
        <w:t>nedostatku po</w:t>
      </w:r>
      <w:r>
        <w:rPr>
          <w:rFonts w:ascii="Calibri" w:hAnsi="Calibri" w:cs="Calibri"/>
          <w:i/>
          <w:iCs/>
          <w:lang w:val="hr-HR"/>
        </w:rPr>
        <w:t>tražnj</w:t>
      </w:r>
      <w:r w:rsidRPr="0079623E">
        <w:rPr>
          <w:rFonts w:ascii="Calibri" w:hAnsi="Calibri" w:cs="Calibri"/>
          <w:i/>
          <w:iCs/>
          <w:lang w:val="hr-HR"/>
        </w:rPr>
        <w:t>e</w:t>
      </w:r>
      <w:r>
        <w:rPr>
          <w:rFonts w:ascii="Calibri" w:hAnsi="Calibri" w:cs="Calibri"/>
          <w:lang w:val="hr-HR"/>
        </w:rPr>
        <w:t xml:space="preserve"> i </w:t>
      </w:r>
      <w:r w:rsidRPr="0079623E">
        <w:rPr>
          <w:rFonts w:ascii="Calibri" w:hAnsi="Calibri" w:cs="Calibri"/>
          <w:i/>
          <w:iCs/>
          <w:lang w:val="hr-HR"/>
        </w:rPr>
        <w:t>tržišnom neuspjehu</w:t>
      </w:r>
      <w:r>
        <w:rPr>
          <w:rFonts w:ascii="Calibri" w:hAnsi="Calibri" w:cs="Calibri"/>
          <w:lang w:val="hr-HR"/>
        </w:rPr>
        <w:t xml:space="preserve">. </w:t>
      </w:r>
    </w:p>
    <w:p w14:paraId="10CD32D0" w14:textId="0E4104BF" w:rsidR="00132E7D" w:rsidRDefault="00132E7D" w:rsidP="00F030D3">
      <w:pPr>
        <w:spacing w:before="40" w:after="40" w:line="300" w:lineRule="auto"/>
        <w:rPr>
          <w:rFonts w:ascii="Calibri" w:hAnsi="Calibri" w:cs="Calibri"/>
          <w:lang w:val="hr-HR"/>
        </w:rPr>
      </w:pPr>
      <w:r>
        <w:rPr>
          <w:rFonts w:ascii="Calibri" w:hAnsi="Calibri" w:cs="Calibri"/>
          <w:lang w:val="hr-HR"/>
        </w:rPr>
        <w:t>Trenutačna bezizgledna situacija i prekomjerna ponuda na tržištu nekretnina u Zagrebu i na okolnom području ukazuje na odsustvo tržišnog neuspjeha na tržištu uredskih prostora A klase, te u manjem opsegu na tržištu uredskih prostora B klase. Iskustvo iz prethodnog desetljeća pokazuje da nestabilnost ne umanjuje tržišni</w:t>
      </w:r>
      <w:r w:rsidRPr="00CF705B">
        <w:rPr>
          <w:rFonts w:ascii="Calibri" w:hAnsi="Calibri" w:cs="Calibri"/>
          <w:lang w:val="hr-HR"/>
        </w:rPr>
        <w:t xml:space="preserve"> </w:t>
      </w:r>
      <w:r>
        <w:rPr>
          <w:rFonts w:ascii="Calibri" w:hAnsi="Calibri" w:cs="Calibri"/>
          <w:lang w:val="hr-HR"/>
        </w:rPr>
        <w:t xml:space="preserve">uspjeh. No, nesrazmjer između troškova razvoja i najamnina na tercijarnom tržištu u Zagrebu ukazuje na tržišni neuspjeh do kojeg će vjerojatno doći i u procesu obnove povijesnih zgrada za tržište uredskih prostora B klase, čiji troškovi mogu biti veći od troškova novogradnje. Ovo bi se pitanje moglo obraditi u sklopu JESSICA-e. </w:t>
      </w:r>
    </w:p>
    <w:p w14:paraId="2B231E8B" w14:textId="77777777" w:rsidR="00132E7D" w:rsidRDefault="00132E7D" w:rsidP="00F030D3">
      <w:pPr>
        <w:spacing w:before="40" w:after="40" w:line="300" w:lineRule="auto"/>
        <w:rPr>
          <w:rFonts w:ascii="Calibri" w:hAnsi="Calibri" w:cs="Calibri"/>
          <w:lang w:val="hr-HR"/>
        </w:rPr>
      </w:pPr>
      <w:r>
        <w:rPr>
          <w:rFonts w:ascii="Calibri" w:hAnsi="Calibri" w:cs="Calibri"/>
          <w:lang w:val="hr-HR"/>
        </w:rPr>
        <w:t xml:space="preserve">Slabija razvijenost tržišta u ostalim dijelovima zemlje u kombinaciji s nesklonošću preuzimanja rizika, može rezultirati neispunjavanjem latentne potražnje. Javnim i privatnim zajedničkim pothvatima mogao bi se, uz potencijalnu primjenu JESSICA-e, potaknuti razvoj tržišta za koji privatni sektor trenutačno smatra da je na samoj granici održivosti (primjerice, razvojem tržišta uredskih prostora prve klase u Splitu). </w:t>
      </w:r>
    </w:p>
    <w:p w14:paraId="7D57912F" w14:textId="77777777" w:rsidR="00132E7D" w:rsidRDefault="00132E7D" w:rsidP="00F030D3">
      <w:pPr>
        <w:spacing w:before="40" w:after="40" w:line="300" w:lineRule="auto"/>
        <w:rPr>
          <w:rFonts w:ascii="Calibri" w:hAnsi="Calibri" w:cs="Calibri"/>
          <w:lang w:val="hr-HR"/>
        </w:rPr>
      </w:pPr>
      <w:r>
        <w:rPr>
          <w:rFonts w:ascii="Calibri" w:hAnsi="Calibri" w:cs="Calibri"/>
          <w:lang w:val="hr-HR"/>
        </w:rPr>
        <w:t xml:space="preserve">Podaci iz upitnika koji su hrvatski gradovi ispunjavali u sklopu </w:t>
      </w:r>
      <w:r w:rsidRPr="001C568F">
        <w:rPr>
          <w:rFonts w:ascii="Calibri" w:hAnsi="Calibri" w:cs="Calibri"/>
          <w:i/>
          <w:iCs/>
          <w:lang w:val="hr-HR"/>
        </w:rPr>
        <w:t>Analitičk</w:t>
      </w:r>
      <w:r>
        <w:rPr>
          <w:rFonts w:ascii="Calibri" w:hAnsi="Calibri" w:cs="Calibri"/>
          <w:i/>
          <w:iCs/>
          <w:lang w:val="hr-HR"/>
        </w:rPr>
        <w:t>e</w:t>
      </w:r>
      <w:r w:rsidRPr="001C568F">
        <w:rPr>
          <w:rFonts w:ascii="Calibri" w:hAnsi="Calibri" w:cs="Calibri"/>
          <w:i/>
          <w:iCs/>
          <w:lang w:val="hr-HR"/>
        </w:rPr>
        <w:t xml:space="preserve"> studij</w:t>
      </w:r>
      <w:r>
        <w:rPr>
          <w:rFonts w:ascii="Calibri" w:hAnsi="Calibri" w:cs="Calibri"/>
          <w:i/>
          <w:iCs/>
          <w:lang w:val="hr-HR"/>
        </w:rPr>
        <w:t>e</w:t>
      </w:r>
      <w:r w:rsidRPr="001C568F">
        <w:rPr>
          <w:rFonts w:ascii="Calibri" w:hAnsi="Calibri" w:cs="Calibri"/>
          <w:i/>
          <w:iCs/>
          <w:lang w:val="hr-HR"/>
        </w:rPr>
        <w:t xml:space="preserve"> </w:t>
      </w:r>
      <w:r>
        <w:rPr>
          <w:rFonts w:ascii="Calibri" w:hAnsi="Calibri" w:cs="Calibri"/>
          <w:i/>
          <w:iCs/>
          <w:lang w:val="hr-HR"/>
        </w:rPr>
        <w:t xml:space="preserve">o </w:t>
      </w:r>
      <w:r w:rsidRPr="001C568F">
        <w:rPr>
          <w:rFonts w:ascii="Calibri" w:hAnsi="Calibri" w:cs="Calibri"/>
          <w:i/>
          <w:iCs/>
          <w:lang w:val="hr-HR"/>
        </w:rPr>
        <w:t>održivo</w:t>
      </w:r>
      <w:r>
        <w:rPr>
          <w:rFonts w:ascii="Calibri" w:hAnsi="Calibri" w:cs="Calibri"/>
          <w:i/>
          <w:iCs/>
          <w:lang w:val="hr-HR"/>
        </w:rPr>
        <w:t>m</w:t>
      </w:r>
      <w:r w:rsidRPr="001C568F">
        <w:rPr>
          <w:rFonts w:ascii="Calibri" w:hAnsi="Calibri" w:cs="Calibri"/>
          <w:i/>
          <w:iCs/>
          <w:lang w:val="hr-HR"/>
        </w:rPr>
        <w:t xml:space="preserve"> urbano</w:t>
      </w:r>
      <w:r>
        <w:rPr>
          <w:rFonts w:ascii="Calibri" w:hAnsi="Calibri" w:cs="Calibri"/>
          <w:i/>
          <w:iCs/>
          <w:lang w:val="hr-HR"/>
        </w:rPr>
        <w:t>m</w:t>
      </w:r>
      <w:r w:rsidRPr="001C568F">
        <w:rPr>
          <w:rFonts w:ascii="Calibri" w:hAnsi="Calibri" w:cs="Calibri"/>
          <w:i/>
          <w:iCs/>
          <w:lang w:val="hr-HR"/>
        </w:rPr>
        <w:t xml:space="preserve"> razvoj</w:t>
      </w:r>
      <w:r>
        <w:rPr>
          <w:rFonts w:ascii="Calibri" w:hAnsi="Calibri" w:cs="Calibri"/>
          <w:i/>
          <w:iCs/>
          <w:lang w:val="hr-HR"/>
        </w:rPr>
        <w:t xml:space="preserve">u, </w:t>
      </w:r>
      <w:r>
        <w:rPr>
          <w:rFonts w:ascii="Calibri" w:hAnsi="Calibri" w:cs="Calibri"/>
          <w:lang w:val="hr-HR"/>
        </w:rPr>
        <w:t>pokazuju da njihove</w:t>
      </w:r>
      <w:r w:rsidRPr="00386007">
        <w:rPr>
          <w:rFonts w:ascii="Calibri" w:hAnsi="Calibri" w:cs="Calibri"/>
          <w:lang w:val="hr-HR"/>
        </w:rPr>
        <w:t xml:space="preserve"> razvojn</w:t>
      </w:r>
      <w:r>
        <w:rPr>
          <w:rFonts w:ascii="Calibri" w:hAnsi="Calibri" w:cs="Calibri"/>
          <w:lang w:val="hr-HR"/>
        </w:rPr>
        <w:t>e</w:t>
      </w:r>
      <w:r w:rsidRPr="00386007">
        <w:rPr>
          <w:rFonts w:ascii="Calibri" w:hAnsi="Calibri" w:cs="Calibri"/>
          <w:lang w:val="hr-HR"/>
        </w:rPr>
        <w:t xml:space="preserve"> potreb</w:t>
      </w:r>
      <w:r>
        <w:rPr>
          <w:rFonts w:ascii="Calibri" w:hAnsi="Calibri" w:cs="Calibri"/>
          <w:lang w:val="hr-HR"/>
        </w:rPr>
        <w:t>e</w:t>
      </w:r>
      <w:r w:rsidRPr="00386007">
        <w:rPr>
          <w:rFonts w:ascii="Calibri" w:hAnsi="Calibri" w:cs="Calibri"/>
          <w:lang w:val="hr-HR"/>
        </w:rPr>
        <w:t xml:space="preserve"> i želj</w:t>
      </w:r>
      <w:r>
        <w:rPr>
          <w:rFonts w:ascii="Calibri" w:hAnsi="Calibri" w:cs="Calibri"/>
          <w:lang w:val="hr-HR"/>
        </w:rPr>
        <w:t>e</w:t>
      </w:r>
      <w:r w:rsidRPr="00386007">
        <w:rPr>
          <w:rFonts w:ascii="Calibri" w:hAnsi="Calibri" w:cs="Calibri"/>
          <w:lang w:val="hr-HR"/>
        </w:rPr>
        <w:t xml:space="preserve"> </w:t>
      </w:r>
      <w:r>
        <w:rPr>
          <w:rFonts w:ascii="Calibri" w:hAnsi="Calibri" w:cs="Calibri"/>
          <w:lang w:val="hr-HR"/>
        </w:rPr>
        <w:t xml:space="preserve">u značajnoj mjeri spadaju u opseg utvrđene tipologije održivog urbanog razvoja, koji se financira u sklopu JESSICA-e. No, određeni broj mogućih projekata je na samoj granici </w:t>
      </w:r>
      <w:r w:rsidRPr="00CF705B">
        <w:rPr>
          <w:rFonts w:ascii="Calibri" w:hAnsi="Calibri" w:cs="Calibri"/>
          <w:lang w:val="hr-HR"/>
        </w:rPr>
        <w:t>kriterija prihvatljivosti u pogledu tematskih ciljeva i investicijskih prioriteta za 2014. – 2020. Ograničenja</w:t>
      </w:r>
      <w:r>
        <w:rPr>
          <w:rFonts w:ascii="Calibri" w:hAnsi="Calibri" w:cs="Calibri"/>
          <w:lang w:val="hr-HR"/>
        </w:rPr>
        <w:t xml:space="preserve"> opsega budućih instrumenata nalik JESSICA-i u Hrvatskoj moći će se jasno definirati tek nakon odobrenja relevantnih operativnih programa. </w:t>
      </w:r>
    </w:p>
    <w:p w14:paraId="2369BE59" w14:textId="3A4A7821" w:rsidR="00132E7D" w:rsidRPr="0057750E" w:rsidRDefault="00132E7D" w:rsidP="00F030D3">
      <w:pPr>
        <w:spacing w:before="40" w:after="40" w:line="300" w:lineRule="auto"/>
        <w:rPr>
          <w:rFonts w:ascii="Calibri" w:hAnsi="Calibri" w:cs="Calibri"/>
          <w:lang w:val="hr-HR"/>
        </w:rPr>
      </w:pPr>
      <w:r>
        <w:rPr>
          <w:rFonts w:ascii="Calibri" w:hAnsi="Calibri" w:cs="Calibri"/>
          <w:lang w:val="hr-HR"/>
        </w:rPr>
        <w:t xml:space="preserve">Ne treba se u prevelikoj mjeri oslanjati na opstojnost aktualnih projektnih prijedloga u većim i srednje velikim hrvatskim gradovima. Tek treba provjeriti i održivost većine projektnih koncepata s obzirom na političke, tržišne, financijske i gospodarske čimbenike. Dosadašnja iskustva hrvatskih gradova s javno-privatnim partnerstvima u najmanju su ruku dvojaka. </w:t>
      </w:r>
    </w:p>
    <w:p w14:paraId="2AB822FE" w14:textId="77777777" w:rsidR="00132E7D" w:rsidRPr="004314AC" w:rsidRDefault="00132E7D" w:rsidP="00F030D3">
      <w:pPr>
        <w:spacing w:before="40" w:after="40" w:line="300" w:lineRule="auto"/>
        <w:rPr>
          <w:rFonts w:ascii="Calibri" w:hAnsi="Calibri" w:cs="Calibri"/>
          <w:lang w:val="hr-HR"/>
        </w:rPr>
      </w:pPr>
      <w:r>
        <w:rPr>
          <w:rFonts w:ascii="Calibri" w:hAnsi="Calibri" w:cs="Calibri"/>
          <w:lang w:val="hr-HR"/>
        </w:rPr>
        <w:t xml:space="preserve">Trenutačno se u Hrvatskoj ne provodi pristup investiranju u infrastrukturu i </w:t>
      </w:r>
      <w:r w:rsidRPr="00CE3C2D">
        <w:rPr>
          <w:rFonts w:ascii="Calibri" w:hAnsi="Calibri" w:cs="Calibri"/>
          <w:lang w:val="hr-HR"/>
        </w:rPr>
        <w:t>nekretnine iz portfelja</w:t>
      </w:r>
      <w:r w:rsidRPr="00CF705B">
        <w:rPr>
          <w:rFonts w:ascii="Calibri" w:hAnsi="Calibri" w:cs="Calibri"/>
          <w:color w:val="548DD4"/>
          <w:lang w:val="hr-HR"/>
        </w:rPr>
        <w:t xml:space="preserve"> </w:t>
      </w:r>
      <w:r w:rsidRPr="004314AC">
        <w:rPr>
          <w:rFonts w:ascii="Calibri" w:hAnsi="Calibri" w:cs="Calibri"/>
          <w:lang w:val="hr-HR"/>
        </w:rPr>
        <w:t xml:space="preserve">koji bi imao sličnosti s modelom JESSICA. </w:t>
      </w:r>
      <w:r>
        <w:rPr>
          <w:rFonts w:ascii="Calibri" w:hAnsi="Calibri" w:cs="Calibri"/>
          <w:lang w:val="hr-HR"/>
        </w:rPr>
        <w:t xml:space="preserve">Bez obzira na to, čini se da stručnjaci iz privatnog sektora koji se bave nekretninama i financijskim uslugama raspolažu potrebnim tehničkim i financijskim </w:t>
      </w:r>
      <w:r>
        <w:rPr>
          <w:rFonts w:ascii="Calibri" w:hAnsi="Calibri" w:cs="Calibri"/>
          <w:lang w:val="hr-HR"/>
        </w:rPr>
        <w:lastRenderedPageBreak/>
        <w:t xml:space="preserve">znanjima i vještinama. Kod komercijalnih je banaka prisutan okvirni interes za sudjelovanje u osnivanju fonda tipa JESSICA. </w:t>
      </w:r>
    </w:p>
    <w:p w14:paraId="752328C3" w14:textId="77777777" w:rsidR="00132E7D" w:rsidRPr="0057750E" w:rsidRDefault="00132E7D" w:rsidP="00F030D3">
      <w:pPr>
        <w:spacing w:before="40" w:after="40" w:line="300" w:lineRule="auto"/>
        <w:rPr>
          <w:rFonts w:ascii="Calibri" w:hAnsi="Calibri" w:cs="Calibri"/>
          <w:lang w:val="hr-HR"/>
        </w:rPr>
      </w:pPr>
      <w:r>
        <w:rPr>
          <w:rFonts w:ascii="Calibri" w:hAnsi="Calibri" w:cs="Calibri"/>
          <w:lang w:val="hr-HR"/>
        </w:rPr>
        <w:t>Kada bi se o upravljanju fondom za urbani razvoj osnovanog prema načelima JESSICA-e odlučivalo putem javnog natječaja, odgovori do kojih se došlo u ovom istraživanju, navode na zaključak da bi ponude vjerojatno pristigle iz RH (uz moguću međunarodnu potporu, u slučaju multinacionalnih tvrtki s predstavništvima u Hrvatskoj). Što se tiče domaćih financijskih institucija, HBOR bi mogao biti najbolje rješenje za upravljanje mehanizmom holding fondova. Ova se uloga može povjeriti i nekoj međunarodnoj financijskoj instituciji</w:t>
      </w:r>
      <w:r w:rsidRPr="0057750E">
        <w:rPr>
          <w:rFonts w:ascii="Calibri" w:hAnsi="Calibri" w:cs="Calibri"/>
          <w:lang w:val="hr-HR"/>
        </w:rPr>
        <w:t>.</w:t>
      </w:r>
    </w:p>
    <w:p w14:paraId="60DFAD69" w14:textId="77777777" w:rsidR="00132E7D" w:rsidRDefault="00132E7D" w:rsidP="00F030D3">
      <w:pPr>
        <w:spacing w:before="40" w:after="40" w:line="300" w:lineRule="auto"/>
        <w:rPr>
          <w:rFonts w:ascii="Calibri" w:hAnsi="Calibri" w:cs="Calibri"/>
          <w:lang w:val="hr-HR"/>
        </w:rPr>
      </w:pPr>
      <w:r>
        <w:rPr>
          <w:rFonts w:ascii="Calibri" w:hAnsi="Calibri" w:cs="Calibri"/>
          <w:lang w:val="hr-HR"/>
        </w:rPr>
        <w:t>Stječe se dojam da u javnom sektoru postoji više prepreka JESSICA-i. Ograničeni opseg i priroda suradnje javnog i privatnog sektora na području urbanog razvoja, uz ograničeno iskustvo vezano uz formalne mehanizme javno-privatnog partnerstva ukazuju na to da bi uspješna primjena JESSICA-e zahtijevala značajne promjene u poslovnoj kulturi i tehničkim kapacitetima. No, JESSICA bi svejedno mogla igrati ključnu ulogu u ostvarivanju navedenih promjena, što je u ostalim državama članicama</w:t>
      </w:r>
      <w:r w:rsidRPr="00EF57F4">
        <w:rPr>
          <w:rFonts w:ascii="Calibri" w:hAnsi="Calibri" w:cs="Calibri"/>
          <w:lang w:val="hr-HR"/>
        </w:rPr>
        <w:t xml:space="preserve"> </w:t>
      </w:r>
      <w:r>
        <w:rPr>
          <w:rFonts w:ascii="Calibri" w:hAnsi="Calibri" w:cs="Calibri"/>
          <w:lang w:val="hr-HR"/>
        </w:rPr>
        <w:t xml:space="preserve">i bio jedan od ciljeva. </w:t>
      </w:r>
    </w:p>
    <w:p w14:paraId="000C76A1" w14:textId="77777777" w:rsidR="00132E7D" w:rsidRPr="0057750E" w:rsidRDefault="00132E7D" w:rsidP="00F030D3">
      <w:pPr>
        <w:spacing w:before="40" w:after="40" w:line="300" w:lineRule="auto"/>
        <w:rPr>
          <w:rFonts w:ascii="Calibri" w:hAnsi="Calibri" w:cs="Calibri"/>
          <w:lang w:val="hr-HR"/>
        </w:rPr>
      </w:pPr>
      <w:r>
        <w:rPr>
          <w:rFonts w:ascii="Calibri" w:hAnsi="Calibri" w:cs="Calibri"/>
          <w:lang w:val="hr-HR"/>
        </w:rPr>
        <w:t xml:space="preserve">Ograničenost kapaciteta i nepovezanost tijela lokalne samouprave izvan većih gradova navodi na zaključak da je mogućnost primjene JESSICA-e prostorno ograničena. U ocjeni </w:t>
      </w:r>
      <w:r w:rsidRPr="000205CC">
        <w:rPr>
          <w:rFonts w:ascii="Calibri" w:hAnsi="Calibri" w:cs="Calibri"/>
          <w:lang w:val="hr-HR"/>
        </w:rPr>
        <w:t>Instrument</w:t>
      </w:r>
      <w:r>
        <w:rPr>
          <w:rFonts w:ascii="Calibri" w:hAnsi="Calibri" w:cs="Calibri"/>
          <w:lang w:val="hr-HR"/>
        </w:rPr>
        <w:t>a</w:t>
      </w:r>
      <w:r w:rsidRPr="000205CC">
        <w:rPr>
          <w:rFonts w:ascii="Calibri" w:hAnsi="Calibri" w:cs="Calibri"/>
          <w:lang w:val="hr-HR"/>
        </w:rPr>
        <w:t xml:space="preserve"> za strukturne politike u pretpristupnom razdoblju (ISPA)</w:t>
      </w:r>
      <w:r>
        <w:rPr>
          <w:rFonts w:ascii="Calibri" w:hAnsi="Calibri" w:cs="Calibri"/>
          <w:lang w:val="hr-HR"/>
        </w:rPr>
        <w:t xml:space="preserve"> i Kohezijskog fonda za razdoblje 2000. – 2006. naglašeno je postojanje prepreka za male jedinice lokalne samouprave pri vođenju pregovora i upravljanju krupnim infrastrukturnim projektima.</w:t>
      </w:r>
      <w:r w:rsidRPr="0057750E">
        <w:rPr>
          <w:rStyle w:val="FootnoteReference"/>
          <w:rFonts w:ascii="Calibri" w:hAnsi="Calibri" w:cs="Calibri"/>
          <w:lang w:val="hr-HR"/>
        </w:rPr>
        <w:footnoteReference w:id="16"/>
      </w:r>
      <w:r w:rsidRPr="0057750E">
        <w:rPr>
          <w:rFonts w:ascii="Calibri" w:hAnsi="Calibri" w:cs="Calibri"/>
          <w:lang w:val="hr-HR"/>
        </w:rPr>
        <w:t xml:space="preserve">. </w:t>
      </w:r>
    </w:p>
    <w:p w14:paraId="792FBE06" w14:textId="77777777" w:rsidR="00132E7D" w:rsidRDefault="00132E7D" w:rsidP="00F030D3">
      <w:pPr>
        <w:spacing w:before="40" w:after="40" w:line="300" w:lineRule="auto"/>
        <w:rPr>
          <w:rFonts w:ascii="Calibri" w:hAnsi="Calibri" w:cs="Calibri"/>
          <w:lang w:val="hr-HR"/>
        </w:rPr>
      </w:pPr>
      <w:r>
        <w:rPr>
          <w:rFonts w:ascii="Calibri" w:hAnsi="Calibri" w:cs="Calibri"/>
          <w:lang w:val="hr-HR"/>
        </w:rPr>
        <w:t xml:space="preserve">Za Hrvatsku bi najbolje rješenje bio jedan fond za urbani razvoj, koji bi pokrivao velike i srednje velike gradove na temelju usvojenih strategija integriranog održivog urbanog razvoja. Dostupni podaci navode na zaključak da se investicije u okviru JESSICA-e češće temelje na zasebnim projektima koji mogu udovoljiti traženim uvjetima, nego na paketima projekata koji uključuju sveobuhvatan pristup razvoju područja.  </w:t>
      </w:r>
    </w:p>
    <w:p w14:paraId="3799ED95" w14:textId="77777777" w:rsidR="00132E7D" w:rsidRDefault="00132E7D" w:rsidP="00F030D3">
      <w:pPr>
        <w:spacing w:before="40" w:after="40" w:line="300" w:lineRule="auto"/>
        <w:rPr>
          <w:rFonts w:ascii="Calibri" w:hAnsi="Calibri" w:cs="Calibri"/>
          <w:lang w:val="hr-HR"/>
        </w:rPr>
      </w:pPr>
      <w:r>
        <w:rPr>
          <w:rFonts w:ascii="Calibri" w:hAnsi="Calibri" w:cs="Calibri"/>
          <w:lang w:val="hr-HR"/>
        </w:rPr>
        <w:t xml:space="preserve">Jedna od glavnih koristi JESSICA-e, i financijskih instrumenata općenito, odnosi se na njihovu sposobnost privlačenja dodatnih sredstava u situacijama u kojima bi iznos financiranja inače bio ograničen. Hrvatski razvojni sustav tek treba pokazati u kojoj mjeri može apsorbirati puno veću količinu sredstava koja će uskoro biti dostupna kroz Europske strukturne i investicijske fondove. Hrvatsko iskustvo s pretpristupnim fondovima, kao i iskustvo nekolicine novih država članica u razdoblju 2007. – 2013., nalažu oprez. Hrvatska bi mogla usmjeriti svoje kapacitete prema povlačenju sredstava na temelju uobičajenih mehanizama financiranja urbanog i infrastrukturnog razvoja, umjesto da </w:t>
      </w:r>
      <w:r w:rsidRPr="000361E7">
        <w:rPr>
          <w:rFonts w:ascii="Calibri" w:hAnsi="Calibri" w:cs="Calibri"/>
          <w:lang w:val="hr-HR"/>
        </w:rPr>
        <w:t xml:space="preserve">troši </w:t>
      </w:r>
      <w:r>
        <w:rPr>
          <w:rFonts w:ascii="Calibri" w:hAnsi="Calibri" w:cs="Calibri"/>
          <w:lang w:val="hr-HR"/>
        </w:rPr>
        <w:t xml:space="preserve">kapacitete (uključujući i one vezane uz usluge privatnog sektora vezane uz poslovanje s </w:t>
      </w:r>
      <w:r w:rsidRPr="00EE5736">
        <w:rPr>
          <w:rFonts w:ascii="Calibri" w:hAnsi="Calibri" w:cs="Calibri"/>
          <w:lang w:val="hr-HR"/>
        </w:rPr>
        <w:t>nekretninama i financije</w:t>
      </w:r>
      <w:r>
        <w:rPr>
          <w:rFonts w:ascii="Calibri" w:hAnsi="Calibri" w:cs="Calibri"/>
          <w:lang w:val="hr-HR"/>
        </w:rPr>
        <w:t xml:space="preserve">), na dodatne instrumente.  </w:t>
      </w:r>
    </w:p>
    <w:p w14:paraId="273C48EB" w14:textId="5B1D95F7" w:rsidR="00132E7D" w:rsidRDefault="00132E7D" w:rsidP="00F030D3">
      <w:pPr>
        <w:spacing w:before="40" w:after="40" w:line="300" w:lineRule="auto"/>
        <w:rPr>
          <w:rFonts w:ascii="Calibri" w:hAnsi="Calibri" w:cs="Calibri"/>
          <w:lang w:val="hr-HR"/>
        </w:rPr>
      </w:pPr>
      <w:r>
        <w:rPr>
          <w:rFonts w:ascii="Calibri" w:hAnsi="Calibri" w:cs="Calibri"/>
          <w:lang w:val="hr-HR"/>
        </w:rPr>
        <w:t>Iskustvo iz razdoblja 2007. – 2013. u primjeni JESSICA-e na temelju izuzeća potpora male vrijednosti</w:t>
      </w:r>
      <w:r w:rsidRPr="00A2125C">
        <w:rPr>
          <w:rFonts w:ascii="Calibri" w:hAnsi="Calibri" w:cs="Calibri"/>
          <w:color w:val="FF0000"/>
          <w:lang w:val="hr-HR"/>
        </w:rPr>
        <w:t xml:space="preserve"> </w:t>
      </w:r>
      <w:r>
        <w:rPr>
          <w:rFonts w:ascii="Calibri" w:hAnsi="Calibri" w:cs="Calibri"/>
          <w:lang w:val="hr-HR"/>
        </w:rPr>
        <w:t xml:space="preserve">nije pozitivno. Štoviše, pokazalo se da važeća </w:t>
      </w:r>
      <w:r w:rsidRPr="00AF4421">
        <w:rPr>
          <w:rFonts w:ascii="Calibri" w:hAnsi="Calibri" w:cs="Calibri"/>
          <w:lang w:val="hr-HR"/>
        </w:rPr>
        <w:t>Opća uredba o skupnom izuzeću</w:t>
      </w:r>
      <w:r>
        <w:rPr>
          <w:rFonts w:ascii="Calibri" w:hAnsi="Calibri" w:cs="Calibri"/>
          <w:lang w:val="hr-HR"/>
        </w:rPr>
        <w:t xml:space="preserve"> nije dovoljno fleksibilna kada su u pitanju sheme razvoja. Neovisno o očekivanim izmjenama i dopunama Opće uredbe, sustavno razvijana shema uz odobrenje Komisije predstavljala bi najprikladniji pristup.</w:t>
      </w:r>
    </w:p>
    <w:p w14:paraId="4EC62667" w14:textId="77777777" w:rsidR="00132E7D" w:rsidRDefault="00132E7D" w:rsidP="00F030D3">
      <w:pPr>
        <w:spacing w:before="40" w:after="40" w:line="300" w:lineRule="auto"/>
        <w:rPr>
          <w:rFonts w:ascii="Calibri" w:hAnsi="Calibri" w:cs="Calibri"/>
          <w:lang w:val="hr-HR"/>
        </w:rPr>
      </w:pPr>
      <w:r>
        <w:rPr>
          <w:rFonts w:ascii="Calibri" w:hAnsi="Calibri" w:cs="Calibri"/>
          <w:lang w:val="hr-HR"/>
        </w:rPr>
        <w:lastRenderedPageBreak/>
        <w:t xml:space="preserve">Iako postoje administrativne prepreke koje zahtijevaju prioritetnije rješavanje, odluka o odustajanju od JESSICA-e za Hrvatsku bi značila isključivanje ove vrste instrumenta s nacionalnog tržišta na razdoblje od deset godina. Iako su kapaciteti u ovom trenutku manjkavi, primjena JESSICA-e mogla bi biti izvediva kroz četiri do pet </w:t>
      </w:r>
      <w:r w:rsidRPr="00DD58AD">
        <w:rPr>
          <w:rFonts w:ascii="Calibri" w:hAnsi="Calibri" w:cs="Calibri"/>
          <w:lang w:val="hr-HR"/>
        </w:rPr>
        <w:t xml:space="preserve">godina, </w:t>
      </w:r>
      <w:r>
        <w:rPr>
          <w:rFonts w:ascii="Calibri" w:hAnsi="Calibri" w:cs="Calibri"/>
          <w:lang w:val="hr-HR"/>
        </w:rPr>
        <w:t>odnosno,</w:t>
      </w:r>
      <w:r w:rsidRPr="00DD58AD">
        <w:rPr>
          <w:rFonts w:ascii="Calibri" w:hAnsi="Calibri" w:cs="Calibri"/>
          <w:lang w:val="hr-HR"/>
        </w:rPr>
        <w:t xml:space="preserve"> neposredno prije prijave investicija za </w:t>
      </w:r>
      <w:r>
        <w:rPr>
          <w:rFonts w:ascii="Calibri" w:hAnsi="Calibri" w:cs="Calibri"/>
          <w:lang w:val="hr-HR"/>
        </w:rPr>
        <w:t xml:space="preserve">dobivanje potpore u okviru JESSICA-e.  </w:t>
      </w:r>
    </w:p>
    <w:p w14:paraId="22BC1EC0" w14:textId="77777777" w:rsidR="00132E7D" w:rsidRPr="0057750E" w:rsidRDefault="00132E7D" w:rsidP="00F030D3">
      <w:pPr>
        <w:spacing w:before="40" w:after="40" w:line="300" w:lineRule="auto"/>
        <w:rPr>
          <w:rFonts w:ascii="Calibri" w:hAnsi="Calibri" w:cs="Calibri"/>
          <w:lang w:val="hr-HR"/>
        </w:rPr>
      </w:pPr>
    </w:p>
    <w:p w14:paraId="25F483B8" w14:textId="77777777" w:rsidR="00132E7D" w:rsidRPr="0057750E" w:rsidRDefault="00132E7D" w:rsidP="00F030D3">
      <w:pPr>
        <w:spacing w:before="40" w:after="40" w:line="300" w:lineRule="auto"/>
        <w:rPr>
          <w:rFonts w:ascii="Calibri" w:hAnsi="Calibri" w:cs="Calibri"/>
          <w:b/>
          <w:bCs/>
          <w:i/>
          <w:iCs/>
          <w:lang w:val="hr-HR"/>
        </w:rPr>
      </w:pPr>
      <w:r w:rsidRPr="0057750E">
        <w:rPr>
          <w:rFonts w:ascii="Calibri" w:hAnsi="Calibri" w:cs="Calibri"/>
          <w:b/>
          <w:bCs/>
          <w:i/>
          <w:iCs/>
          <w:lang w:val="hr-HR"/>
        </w:rPr>
        <w:t>Instrumenti za po</w:t>
      </w:r>
      <w:r>
        <w:rPr>
          <w:rFonts w:ascii="Calibri" w:hAnsi="Calibri" w:cs="Calibri"/>
          <w:b/>
          <w:bCs/>
          <w:i/>
          <w:iCs/>
          <w:lang w:val="hr-HR"/>
        </w:rPr>
        <w:t>tporu</w:t>
      </w:r>
      <w:r w:rsidRPr="0057750E">
        <w:rPr>
          <w:rFonts w:ascii="Calibri" w:hAnsi="Calibri" w:cs="Calibri"/>
          <w:b/>
          <w:bCs/>
          <w:i/>
          <w:iCs/>
          <w:lang w:val="hr-HR"/>
        </w:rPr>
        <w:t xml:space="preserve"> energetsk</w:t>
      </w:r>
      <w:r>
        <w:rPr>
          <w:rFonts w:ascii="Calibri" w:hAnsi="Calibri" w:cs="Calibri"/>
          <w:b/>
          <w:bCs/>
          <w:i/>
          <w:iCs/>
          <w:lang w:val="hr-HR"/>
        </w:rPr>
        <w:t>oj</w:t>
      </w:r>
      <w:r w:rsidRPr="0057750E">
        <w:rPr>
          <w:rFonts w:ascii="Calibri" w:hAnsi="Calibri" w:cs="Calibri"/>
          <w:b/>
          <w:bCs/>
          <w:i/>
          <w:iCs/>
          <w:lang w:val="hr-HR"/>
        </w:rPr>
        <w:t xml:space="preserve"> učinkovitosti i obnovljiv</w:t>
      </w:r>
      <w:r>
        <w:rPr>
          <w:rFonts w:ascii="Calibri" w:hAnsi="Calibri" w:cs="Calibri"/>
          <w:b/>
          <w:bCs/>
          <w:i/>
          <w:iCs/>
          <w:lang w:val="hr-HR"/>
        </w:rPr>
        <w:t>im</w:t>
      </w:r>
      <w:r w:rsidRPr="0057750E">
        <w:rPr>
          <w:rFonts w:ascii="Calibri" w:hAnsi="Calibri" w:cs="Calibri"/>
          <w:b/>
          <w:bCs/>
          <w:i/>
          <w:iCs/>
          <w:lang w:val="hr-HR"/>
        </w:rPr>
        <w:t xml:space="preserve"> izvor</w:t>
      </w:r>
      <w:r>
        <w:rPr>
          <w:rFonts w:ascii="Calibri" w:hAnsi="Calibri" w:cs="Calibri"/>
          <w:b/>
          <w:bCs/>
          <w:i/>
          <w:iCs/>
          <w:lang w:val="hr-HR"/>
        </w:rPr>
        <w:t>ima</w:t>
      </w:r>
      <w:r w:rsidRPr="0057750E">
        <w:rPr>
          <w:rFonts w:ascii="Calibri" w:hAnsi="Calibri" w:cs="Calibri"/>
          <w:b/>
          <w:bCs/>
          <w:i/>
          <w:iCs/>
          <w:lang w:val="hr-HR"/>
        </w:rPr>
        <w:t xml:space="preserve"> energije  </w:t>
      </w:r>
    </w:p>
    <w:p w14:paraId="306DE6C3" w14:textId="77777777" w:rsidR="00132E7D" w:rsidRDefault="00132E7D" w:rsidP="00F030D3">
      <w:pPr>
        <w:spacing w:before="40" w:after="40" w:line="300" w:lineRule="auto"/>
        <w:rPr>
          <w:rFonts w:ascii="Calibri" w:hAnsi="Calibri" w:cs="Calibri"/>
          <w:lang w:val="hr-HR" w:eastAsia="en-GB"/>
        </w:rPr>
      </w:pPr>
      <w:r>
        <w:rPr>
          <w:rFonts w:ascii="Calibri" w:hAnsi="Calibri" w:cs="Calibri"/>
          <w:lang w:val="hr-HR" w:eastAsia="en-GB"/>
        </w:rPr>
        <w:t xml:space="preserve">Financijski instrumenti koje financira EU u svrhu potpore poboljšanju energetske učinkovitosti zgrada u javnom sektoru u ovom su trenutku ograničeni samo na države članice s dobro uhodanim tržištem društava za energetske usluge i usmjereni na rješavanje preostalih tržišnih neuspjeha. S obzirom na ranu fazu razvoja tog tržišta u Hrvatskoj, zaključak je da je za Hrvatsku vjerojatno još prerano da oblikuje financijski instrument u svrhu potpore poboljšanju energetske učinkovitosti zgrada u javnom sektoru. </w:t>
      </w:r>
    </w:p>
    <w:p w14:paraId="033A942B" w14:textId="77777777" w:rsidR="00132E7D" w:rsidRDefault="00132E7D" w:rsidP="00F030D3">
      <w:pPr>
        <w:spacing w:before="40" w:after="40" w:line="300" w:lineRule="auto"/>
        <w:rPr>
          <w:rFonts w:ascii="Calibri" w:hAnsi="Calibri" w:cs="Calibri"/>
          <w:lang w:val="hr-HR" w:eastAsia="en-GB"/>
        </w:rPr>
      </w:pPr>
      <w:r>
        <w:rPr>
          <w:rFonts w:ascii="Calibri" w:hAnsi="Calibri" w:cs="Calibri"/>
          <w:lang w:val="hr-HR" w:eastAsia="en-GB"/>
        </w:rPr>
        <w:t xml:space="preserve">No, kada su u pitanju stambene zgrade, čini se da postoje bolje mogućnosti za korištenje financijskih instrumenata koje financira EU u pogledu ulaganja u energetsku učinkovitost. Ovaj zaključak se temelji na podacima o uspješnim aktivnostima ove vrste fondova u novim, manjim državama članicama. No, valja imati na umu da se navedene zemlje – Estonija i Litva, nalaze na području s ekstremnijim klimatskim uvjetima nego Hrvatska te da je stanovništvo tih zemalja u većoj mjeri prihvatilo načela uštede energije. Podatak da Komisija radi na promidžbi </w:t>
      </w:r>
      <w:r w:rsidRPr="006C5B39">
        <w:rPr>
          <w:rFonts w:ascii="Calibri" w:hAnsi="Calibri" w:cs="Calibri"/>
          <w:i/>
          <w:iCs/>
          <w:lang w:val="hr-HR"/>
        </w:rPr>
        <w:t>off-the-shelf</w:t>
      </w:r>
      <w:r w:rsidRPr="0057750E">
        <w:rPr>
          <w:rFonts w:ascii="Calibri" w:hAnsi="Calibri" w:cs="Calibri"/>
          <w:lang w:val="hr-HR"/>
        </w:rPr>
        <w:t xml:space="preserve"> instrument</w:t>
      </w:r>
      <w:r>
        <w:rPr>
          <w:rFonts w:ascii="Calibri" w:hAnsi="Calibri" w:cs="Calibri"/>
          <w:lang w:val="hr-HR"/>
        </w:rPr>
        <w:t xml:space="preserve">a za ovo područje za razdoblje 2014. – 2020., može utjecati na pojednostavljivanje postupka osnivanja i poslovanja takvog fonda. </w:t>
      </w:r>
    </w:p>
    <w:p w14:paraId="7952FA7A" w14:textId="77777777" w:rsidR="00132E7D" w:rsidRPr="0057750E" w:rsidRDefault="00132E7D" w:rsidP="00F030D3">
      <w:pPr>
        <w:spacing w:before="40" w:after="40" w:line="300" w:lineRule="auto"/>
        <w:rPr>
          <w:rFonts w:ascii="Calibri" w:hAnsi="Calibri" w:cs="Calibri"/>
          <w:lang w:val="hr-HR"/>
        </w:rPr>
      </w:pPr>
    </w:p>
    <w:p w14:paraId="7F6017C0" w14:textId="77777777" w:rsidR="00132E7D" w:rsidRPr="00CF2B98" w:rsidRDefault="00132E7D" w:rsidP="00F030D3">
      <w:pPr>
        <w:pStyle w:val="14-Heading2"/>
        <w:numPr>
          <w:ilvl w:val="1"/>
          <w:numId w:val="45"/>
        </w:numPr>
        <w:spacing w:before="40" w:after="40" w:line="300" w:lineRule="auto"/>
        <w:rPr>
          <w:sz w:val="22"/>
          <w:szCs w:val="22"/>
          <w:lang w:val="hr-HR"/>
        </w:rPr>
      </w:pPr>
      <w:bookmarkStart w:id="17" w:name="_Toc394052284"/>
      <w:r w:rsidRPr="00CF2B98">
        <w:rPr>
          <w:sz w:val="22"/>
          <w:szCs w:val="22"/>
          <w:lang w:val="hr-HR"/>
        </w:rPr>
        <w:t>Preporuke</w:t>
      </w:r>
      <w:bookmarkEnd w:id="17"/>
      <w:r w:rsidRPr="00CF2B98">
        <w:rPr>
          <w:sz w:val="22"/>
          <w:szCs w:val="22"/>
          <w:lang w:val="hr-HR"/>
        </w:rPr>
        <w:t xml:space="preserve">  </w:t>
      </w:r>
    </w:p>
    <w:p w14:paraId="247C1437" w14:textId="77777777" w:rsidR="00132E7D" w:rsidRPr="0057750E" w:rsidRDefault="00132E7D" w:rsidP="00F030D3">
      <w:pPr>
        <w:spacing w:before="40" w:after="40" w:line="300" w:lineRule="auto"/>
        <w:rPr>
          <w:rFonts w:ascii="Calibri" w:hAnsi="Calibri" w:cs="Calibri"/>
          <w:b/>
          <w:bCs/>
          <w:i/>
          <w:iCs/>
          <w:lang w:val="hr-HR"/>
        </w:rPr>
      </w:pPr>
      <w:r w:rsidRPr="0057750E">
        <w:rPr>
          <w:rFonts w:ascii="Calibri" w:hAnsi="Calibri" w:cs="Calibri"/>
          <w:b/>
          <w:bCs/>
          <w:i/>
          <w:iCs/>
          <w:lang w:val="hr-HR"/>
        </w:rPr>
        <w:t xml:space="preserve">Instrumenti </w:t>
      </w:r>
      <w:r>
        <w:rPr>
          <w:rFonts w:ascii="Calibri" w:hAnsi="Calibri" w:cs="Calibri"/>
          <w:b/>
          <w:bCs/>
          <w:i/>
          <w:iCs/>
          <w:lang w:val="hr-HR"/>
        </w:rPr>
        <w:t xml:space="preserve">za potporu </w:t>
      </w:r>
      <w:r w:rsidRPr="0057750E">
        <w:rPr>
          <w:rFonts w:ascii="Calibri" w:hAnsi="Calibri" w:cs="Calibri"/>
          <w:b/>
          <w:bCs/>
          <w:i/>
          <w:iCs/>
          <w:lang w:val="hr-HR"/>
        </w:rPr>
        <w:t>urbano</w:t>
      </w:r>
      <w:r>
        <w:rPr>
          <w:rFonts w:ascii="Calibri" w:hAnsi="Calibri" w:cs="Calibri"/>
          <w:b/>
          <w:bCs/>
          <w:i/>
          <w:iCs/>
          <w:lang w:val="hr-HR"/>
        </w:rPr>
        <w:t>m</w:t>
      </w:r>
      <w:r w:rsidRPr="0057750E">
        <w:rPr>
          <w:rFonts w:ascii="Calibri" w:hAnsi="Calibri" w:cs="Calibri"/>
          <w:b/>
          <w:bCs/>
          <w:i/>
          <w:iCs/>
          <w:lang w:val="hr-HR"/>
        </w:rPr>
        <w:t xml:space="preserve"> razvoj</w:t>
      </w:r>
      <w:r>
        <w:rPr>
          <w:rFonts w:ascii="Calibri" w:hAnsi="Calibri" w:cs="Calibri"/>
          <w:b/>
          <w:bCs/>
          <w:i/>
          <w:iCs/>
          <w:lang w:val="hr-HR"/>
        </w:rPr>
        <w:t>u</w:t>
      </w:r>
    </w:p>
    <w:p w14:paraId="4720585F" w14:textId="77777777" w:rsidR="00132E7D" w:rsidRPr="0057750E" w:rsidRDefault="00132E7D" w:rsidP="00F030D3">
      <w:pPr>
        <w:spacing w:before="40" w:after="40" w:line="300" w:lineRule="auto"/>
        <w:rPr>
          <w:rFonts w:ascii="Calibri" w:hAnsi="Calibri" w:cs="Calibri"/>
          <w:lang w:val="hr-HR"/>
        </w:rPr>
      </w:pPr>
      <w:r>
        <w:rPr>
          <w:rFonts w:ascii="Calibri" w:hAnsi="Calibri" w:cs="Calibri"/>
          <w:lang w:val="hr-HR"/>
        </w:rPr>
        <w:t xml:space="preserve">Iako se čini da su ostvareni potrebni uvjeti za uspješnu primjenu JESSICA-e u Hrvatskoj, još je uvijek prisutan značajan broj neriješenih pitanja. Stoga u ovoj fazi hrvatskim tijelima državne vlasti preporučuje se  oprezan, no ipak pozitivan, pristup i provedba sljedećih koraka: </w:t>
      </w:r>
    </w:p>
    <w:p w14:paraId="3EEB1EE9" w14:textId="77777777" w:rsidR="00132E7D" w:rsidRDefault="00132E7D" w:rsidP="00F030D3">
      <w:pPr>
        <w:pStyle w:val="ListParagraph"/>
        <w:numPr>
          <w:ilvl w:val="0"/>
          <w:numId w:val="38"/>
        </w:numPr>
        <w:spacing w:before="40" w:after="40" w:line="300" w:lineRule="auto"/>
        <w:ind w:left="714" w:hanging="357"/>
        <w:rPr>
          <w:rFonts w:ascii="Calibri" w:hAnsi="Calibri" w:cs="Calibri"/>
          <w:lang w:val="hr-HR"/>
        </w:rPr>
      </w:pPr>
      <w:r>
        <w:rPr>
          <w:rFonts w:ascii="Calibri" w:hAnsi="Calibri" w:cs="Calibri"/>
          <w:lang w:val="hr-HR"/>
        </w:rPr>
        <w:t xml:space="preserve">jasno navesti mogućnosti financiranja tipa JESSICA u službenim smjernicama za pripremu strategija integriranog održivog urbanog razvoja (2014.) za velike i srednje velike gradove  </w:t>
      </w:r>
    </w:p>
    <w:p w14:paraId="5D0DA7C9" w14:textId="77777777" w:rsidR="00132E7D" w:rsidRPr="008F27A3" w:rsidRDefault="00132E7D" w:rsidP="00F030D3">
      <w:pPr>
        <w:pStyle w:val="ListParagraph"/>
        <w:numPr>
          <w:ilvl w:val="0"/>
          <w:numId w:val="38"/>
        </w:numPr>
        <w:spacing w:before="40" w:after="40" w:line="300" w:lineRule="auto"/>
        <w:ind w:left="714" w:hanging="357"/>
        <w:rPr>
          <w:rFonts w:ascii="Calibri" w:hAnsi="Calibri" w:cs="Calibri"/>
          <w:lang w:val="hr-HR"/>
        </w:rPr>
      </w:pPr>
      <w:r>
        <w:rPr>
          <w:rFonts w:ascii="Calibri" w:hAnsi="Calibri" w:cs="Calibri"/>
          <w:lang w:val="hr-HR"/>
        </w:rPr>
        <w:t>detaljno razmotriti u kojoj mjeri konkretniji prijedlozi razvoja, definirani u odobrenim strategijama integriranog održivog urbanog razvoja, udovoljavaju uvjetima financiranja tipa JESSICA</w:t>
      </w:r>
      <w:r w:rsidRPr="008F27A3">
        <w:rPr>
          <w:rFonts w:ascii="Calibri" w:hAnsi="Calibri" w:cs="Calibri"/>
          <w:lang w:val="hr-HR"/>
        </w:rPr>
        <w:t xml:space="preserve"> (2015</w:t>
      </w:r>
      <w:r>
        <w:rPr>
          <w:rFonts w:ascii="Calibri" w:hAnsi="Calibri" w:cs="Calibri"/>
          <w:lang w:val="hr-HR"/>
        </w:rPr>
        <w:t>.</w:t>
      </w:r>
      <w:r w:rsidRPr="008F27A3">
        <w:rPr>
          <w:rFonts w:ascii="Calibri" w:hAnsi="Calibri" w:cs="Calibri"/>
          <w:lang w:val="hr-HR"/>
        </w:rPr>
        <w:t>)</w:t>
      </w:r>
    </w:p>
    <w:p w14:paraId="6FEAAD5F" w14:textId="77777777" w:rsidR="00132E7D" w:rsidRPr="00A048A6" w:rsidRDefault="00132E7D" w:rsidP="00F030D3">
      <w:pPr>
        <w:pStyle w:val="ListParagraph"/>
        <w:numPr>
          <w:ilvl w:val="0"/>
          <w:numId w:val="38"/>
        </w:numPr>
        <w:spacing w:before="40" w:after="40" w:line="300" w:lineRule="auto"/>
        <w:ind w:left="714" w:hanging="357"/>
        <w:rPr>
          <w:rFonts w:ascii="Calibri" w:hAnsi="Calibri" w:cs="Calibri"/>
          <w:lang w:val="hr-HR"/>
        </w:rPr>
      </w:pPr>
      <w:r>
        <w:rPr>
          <w:rFonts w:ascii="Calibri" w:hAnsi="Calibri" w:cs="Calibri"/>
          <w:lang w:val="hr-HR"/>
        </w:rPr>
        <w:t>na temelju uočenog odgovarajućeg potencijala, započeti ex-ante procjenu potencijala za primjenu JESSICA-e i istovremeno pripremati relevantne instrumente – kako bi se na temelju rezultata analize dobile potrebne informacije</w:t>
      </w:r>
      <w:r w:rsidRPr="00A048A6">
        <w:rPr>
          <w:rFonts w:ascii="Calibri" w:hAnsi="Calibri" w:cs="Calibri"/>
          <w:lang w:val="hr-HR"/>
        </w:rPr>
        <w:t xml:space="preserve"> (2016</w:t>
      </w:r>
      <w:r>
        <w:rPr>
          <w:rFonts w:ascii="Calibri" w:hAnsi="Calibri" w:cs="Calibri"/>
          <w:lang w:val="hr-HR"/>
        </w:rPr>
        <w:t>.</w:t>
      </w:r>
      <w:r w:rsidRPr="00A048A6">
        <w:rPr>
          <w:rFonts w:ascii="Calibri" w:hAnsi="Calibri" w:cs="Calibri"/>
          <w:lang w:val="hr-HR"/>
        </w:rPr>
        <w:t xml:space="preserve">) </w:t>
      </w:r>
    </w:p>
    <w:p w14:paraId="190A102C" w14:textId="77777777" w:rsidR="00132E7D" w:rsidRPr="008F27A3" w:rsidRDefault="00132E7D" w:rsidP="00F030D3">
      <w:pPr>
        <w:pStyle w:val="ListParagraph"/>
        <w:numPr>
          <w:ilvl w:val="0"/>
          <w:numId w:val="38"/>
        </w:numPr>
        <w:spacing w:before="40" w:after="40" w:line="300" w:lineRule="auto"/>
        <w:ind w:left="714" w:hanging="357"/>
        <w:rPr>
          <w:rFonts w:ascii="Calibri" w:hAnsi="Calibri" w:cs="Calibri"/>
          <w:lang w:val="hr-HR"/>
        </w:rPr>
      </w:pPr>
      <w:r>
        <w:rPr>
          <w:rFonts w:ascii="Calibri" w:hAnsi="Calibri" w:cs="Calibri"/>
          <w:lang w:val="hr-HR"/>
        </w:rPr>
        <w:t xml:space="preserve">redovito pratiti informacije i novosti iz ostalih država članica o ostvarenim rezultatima i apsorbiranim sredstvima – s naglaskom na analize inicijative JESSICA u razdoblju 2007. – 2013. </w:t>
      </w:r>
      <w:r w:rsidRPr="008F27A3">
        <w:rPr>
          <w:rFonts w:ascii="Calibri" w:hAnsi="Calibri" w:cs="Calibri"/>
          <w:lang w:val="hr-HR"/>
        </w:rPr>
        <w:t>(2016</w:t>
      </w:r>
      <w:r>
        <w:rPr>
          <w:rFonts w:ascii="Calibri" w:hAnsi="Calibri" w:cs="Calibri"/>
          <w:lang w:val="hr-HR"/>
        </w:rPr>
        <w:t>. – 20</w:t>
      </w:r>
      <w:r w:rsidRPr="008F27A3">
        <w:rPr>
          <w:rFonts w:ascii="Calibri" w:hAnsi="Calibri" w:cs="Calibri"/>
          <w:lang w:val="hr-HR"/>
        </w:rPr>
        <w:t>17</w:t>
      </w:r>
      <w:r>
        <w:rPr>
          <w:rFonts w:ascii="Calibri" w:hAnsi="Calibri" w:cs="Calibri"/>
          <w:lang w:val="hr-HR"/>
        </w:rPr>
        <w:t>.</w:t>
      </w:r>
      <w:r w:rsidRPr="008F27A3">
        <w:rPr>
          <w:rFonts w:ascii="Calibri" w:hAnsi="Calibri" w:cs="Calibri"/>
          <w:lang w:val="hr-HR"/>
        </w:rPr>
        <w:t>)</w:t>
      </w:r>
      <w:r>
        <w:rPr>
          <w:rFonts w:ascii="Calibri" w:hAnsi="Calibri" w:cs="Calibri"/>
          <w:lang w:val="hr-HR"/>
        </w:rPr>
        <w:t xml:space="preserve"> </w:t>
      </w:r>
    </w:p>
    <w:p w14:paraId="321B28CC" w14:textId="77777777" w:rsidR="00132E7D" w:rsidRDefault="00132E7D" w:rsidP="00F030D3">
      <w:pPr>
        <w:pStyle w:val="ListParagraph"/>
        <w:numPr>
          <w:ilvl w:val="0"/>
          <w:numId w:val="38"/>
        </w:numPr>
        <w:spacing w:before="40" w:after="40" w:line="300" w:lineRule="auto"/>
        <w:ind w:left="714" w:hanging="357"/>
        <w:rPr>
          <w:rFonts w:ascii="Calibri" w:hAnsi="Calibri" w:cs="Calibri"/>
          <w:lang w:val="hr-HR"/>
        </w:rPr>
      </w:pPr>
      <w:r>
        <w:rPr>
          <w:rFonts w:ascii="Calibri" w:hAnsi="Calibri" w:cs="Calibri"/>
          <w:lang w:val="hr-HR"/>
        </w:rPr>
        <w:t xml:space="preserve">u slučaju pozitivnih nalaza službene </w:t>
      </w:r>
      <w:r w:rsidRPr="008F27A3">
        <w:rPr>
          <w:rFonts w:ascii="Calibri" w:hAnsi="Calibri" w:cs="Calibri"/>
          <w:i/>
          <w:iCs/>
          <w:lang w:val="hr-HR"/>
        </w:rPr>
        <w:t>ex-ante</w:t>
      </w:r>
      <w:r>
        <w:rPr>
          <w:rFonts w:ascii="Calibri" w:hAnsi="Calibri" w:cs="Calibri"/>
          <w:lang w:val="hr-HR"/>
        </w:rPr>
        <w:t xml:space="preserve"> procjene, Hrvatska bi u 2017. godini Komisiji trebala podnijeti detaljno razrađen prijedlog vezan uz planirani instrument poput JESSICA-e. </w:t>
      </w:r>
    </w:p>
    <w:p w14:paraId="56F8F885" w14:textId="77777777" w:rsidR="00132E7D" w:rsidRPr="0057750E" w:rsidRDefault="00132E7D" w:rsidP="00F030D3">
      <w:pPr>
        <w:pStyle w:val="ListParagraph"/>
        <w:spacing w:before="40" w:after="40" w:line="300" w:lineRule="auto"/>
        <w:rPr>
          <w:rFonts w:ascii="Calibri" w:hAnsi="Calibri" w:cs="Calibri"/>
          <w:lang w:val="hr-HR"/>
        </w:rPr>
      </w:pPr>
    </w:p>
    <w:p w14:paraId="2862DB10" w14:textId="77777777" w:rsidR="00132E7D" w:rsidRDefault="00132E7D" w:rsidP="00F030D3">
      <w:pPr>
        <w:spacing w:before="40" w:after="40" w:line="300" w:lineRule="auto"/>
        <w:ind w:left="360"/>
        <w:rPr>
          <w:rFonts w:ascii="Calibri" w:hAnsi="Calibri" w:cs="Calibri"/>
          <w:lang w:val="hr-HR"/>
        </w:rPr>
      </w:pPr>
      <w:r>
        <w:rPr>
          <w:rFonts w:ascii="Calibri" w:hAnsi="Calibri" w:cs="Calibri"/>
          <w:lang w:val="hr-HR"/>
        </w:rPr>
        <w:t xml:space="preserve">Prema gornjem bi scenariju investicije mogle započeti 2019., uz četiri do pet godina za stopostotnu raspodjelu dodijeljenih sredstava na projekte. Na jednak bi se način trebalo pristupiti dodjeli sredstava bilo kojem instrumentu poput JESSICA-e koji se planira za operativne programe 2014. - 2020. </w:t>
      </w:r>
    </w:p>
    <w:p w14:paraId="737AB8FF" w14:textId="77777777" w:rsidR="00132E7D" w:rsidRPr="0057750E" w:rsidRDefault="00132E7D" w:rsidP="00F030D3">
      <w:pPr>
        <w:spacing w:before="40" w:after="40" w:line="300" w:lineRule="auto"/>
        <w:rPr>
          <w:rFonts w:ascii="Calibri" w:hAnsi="Calibri" w:cs="Calibri"/>
          <w:lang w:val="hr-HR"/>
        </w:rPr>
      </w:pPr>
    </w:p>
    <w:p w14:paraId="4617F3B7" w14:textId="77777777" w:rsidR="00132E7D" w:rsidRPr="0057750E" w:rsidRDefault="00132E7D" w:rsidP="00F030D3">
      <w:pPr>
        <w:spacing w:before="40" w:after="40" w:line="300" w:lineRule="auto"/>
        <w:rPr>
          <w:rFonts w:ascii="Calibri" w:hAnsi="Calibri" w:cs="Calibri"/>
          <w:b/>
          <w:bCs/>
          <w:i/>
          <w:iCs/>
          <w:lang w:val="hr-HR" w:eastAsia="en-GB"/>
        </w:rPr>
      </w:pPr>
      <w:r w:rsidRPr="0057750E">
        <w:rPr>
          <w:rFonts w:ascii="Calibri" w:hAnsi="Calibri" w:cs="Calibri"/>
          <w:b/>
          <w:bCs/>
          <w:i/>
          <w:iCs/>
          <w:lang w:val="hr-HR" w:eastAsia="en-GB"/>
        </w:rPr>
        <w:t>Instrument</w:t>
      </w:r>
      <w:r>
        <w:rPr>
          <w:rFonts w:ascii="Calibri" w:hAnsi="Calibri" w:cs="Calibri"/>
          <w:b/>
          <w:bCs/>
          <w:i/>
          <w:iCs/>
          <w:lang w:val="hr-HR" w:eastAsia="en-GB"/>
        </w:rPr>
        <w:t>i</w:t>
      </w:r>
      <w:r w:rsidRPr="0057750E">
        <w:rPr>
          <w:rFonts w:ascii="Calibri" w:hAnsi="Calibri" w:cs="Calibri"/>
          <w:b/>
          <w:bCs/>
          <w:i/>
          <w:iCs/>
          <w:lang w:val="hr-HR" w:eastAsia="en-GB"/>
        </w:rPr>
        <w:t xml:space="preserve"> </w:t>
      </w:r>
      <w:r>
        <w:rPr>
          <w:rFonts w:ascii="Calibri" w:hAnsi="Calibri" w:cs="Calibri"/>
          <w:b/>
          <w:bCs/>
          <w:i/>
          <w:iCs/>
          <w:lang w:val="hr-HR" w:eastAsia="en-GB"/>
        </w:rPr>
        <w:t xml:space="preserve">za potporu investicijama u energetsku učinkovitost i obnovljive izvore energije </w:t>
      </w:r>
    </w:p>
    <w:p w14:paraId="1FED8EAC" w14:textId="77777777" w:rsidR="00132E7D" w:rsidRDefault="00132E7D" w:rsidP="00F030D3">
      <w:pPr>
        <w:spacing w:before="40" w:after="40" w:line="300" w:lineRule="auto"/>
        <w:rPr>
          <w:rFonts w:ascii="Calibri" w:hAnsi="Calibri" w:cs="Calibri"/>
          <w:lang w:val="hr-HR" w:eastAsia="en-GB"/>
        </w:rPr>
      </w:pPr>
      <w:r>
        <w:rPr>
          <w:rFonts w:ascii="Calibri" w:hAnsi="Calibri" w:cs="Calibri"/>
          <w:lang w:val="hr-HR" w:eastAsia="en-GB"/>
        </w:rPr>
        <w:t xml:space="preserve">Umjesto financijskog instrumenta za potporu poboljšanju energetske učinkovitosti zgrada u javnom sektoru, za Hrvatsku bi bilo bolje da najprije uspostavi izravnije odnose s međunarodnim financijskim institucijama, a potom i s inicijativama za pružanje tehničke potpore (npr. ELENA), u svrhu razvoja tržišta društava za energetske usluge u ovoj ranoj fazi. Na taj bi način investicije u energetsku učinkovitost zgrada u javnom sektoru mogle uključivati i bespovratna sredstva iz fondova EU-a uz istovremeni razvoj tržišta društava za energetske usluge, čime bi se izbjeglo preuranjeno pristupanje složenijim mehanizmima financijskih instrumenata koje podupire EU.    </w:t>
      </w:r>
    </w:p>
    <w:p w14:paraId="77871221" w14:textId="77777777" w:rsidR="00132E7D" w:rsidRDefault="00132E7D" w:rsidP="00F030D3">
      <w:pPr>
        <w:spacing w:before="40" w:after="40" w:line="300" w:lineRule="auto"/>
        <w:rPr>
          <w:rFonts w:ascii="Calibri" w:hAnsi="Calibri" w:cs="Calibri"/>
          <w:lang w:val="hr-HR"/>
        </w:rPr>
      </w:pPr>
      <w:r>
        <w:rPr>
          <w:rFonts w:ascii="Calibri" w:hAnsi="Calibri" w:cs="Calibri"/>
          <w:lang w:val="hr-HR"/>
        </w:rPr>
        <w:t xml:space="preserve">Kad je riječ o stambenim zgradama, preporuka je da se nakon razjašnjenja aspekata relevantnog </w:t>
      </w:r>
      <w:r w:rsidRPr="00F01C76">
        <w:rPr>
          <w:rFonts w:ascii="Calibri" w:hAnsi="Calibri" w:cs="Calibri"/>
          <w:i/>
          <w:iCs/>
          <w:lang w:val="hr-HR"/>
        </w:rPr>
        <w:t>off-the-shelf</w:t>
      </w:r>
      <w:r w:rsidRPr="0057750E">
        <w:rPr>
          <w:rFonts w:ascii="Calibri" w:hAnsi="Calibri" w:cs="Calibri"/>
          <w:lang w:val="hr-HR"/>
        </w:rPr>
        <w:t xml:space="preserve"> instrument</w:t>
      </w:r>
      <w:r>
        <w:rPr>
          <w:rFonts w:ascii="Calibri" w:hAnsi="Calibri" w:cs="Calibri"/>
          <w:lang w:val="hr-HR"/>
        </w:rPr>
        <w:t>a za razdoblje 2014. – 2020.</w:t>
      </w:r>
      <w:r w:rsidRPr="0057750E">
        <w:rPr>
          <w:rFonts w:ascii="Calibri" w:hAnsi="Calibri" w:cs="Calibri"/>
          <w:lang w:val="hr-HR"/>
        </w:rPr>
        <w:t xml:space="preserve"> </w:t>
      </w:r>
      <w:r>
        <w:rPr>
          <w:rFonts w:ascii="Calibri" w:hAnsi="Calibri" w:cs="Calibri"/>
          <w:lang w:val="hr-HR"/>
        </w:rPr>
        <w:t xml:space="preserve">dodatno razmotre mogućnosti razvoja financijskog instrumenta s potporom EU-a za investicije u energetsku učinkovitost. No, valja napomenuti da će ukupni uspjeh u velikoj mjeri ovisiti o stavu hrvatskih građana o potrebi za tom vrstom investicija. </w:t>
      </w:r>
    </w:p>
    <w:p w14:paraId="13CF7E4B" w14:textId="77777777" w:rsidR="00132E7D" w:rsidRPr="0057750E" w:rsidRDefault="00132E7D" w:rsidP="00F030D3">
      <w:pPr>
        <w:spacing w:before="40" w:after="40" w:line="300" w:lineRule="auto"/>
        <w:jc w:val="left"/>
        <w:rPr>
          <w:rFonts w:ascii="Calibri" w:hAnsi="Calibri" w:cs="Calibri"/>
          <w:lang w:val="hr-HR"/>
        </w:rPr>
      </w:pPr>
    </w:p>
    <w:p w14:paraId="1A2CB1EE" w14:textId="77777777" w:rsidR="00132E7D" w:rsidRPr="0057750E" w:rsidRDefault="00132E7D" w:rsidP="00F030D3">
      <w:pPr>
        <w:spacing w:before="40" w:after="40" w:line="300" w:lineRule="auto"/>
        <w:ind w:left="720"/>
        <w:rPr>
          <w:rFonts w:ascii="Calibri" w:hAnsi="Calibri" w:cs="Calibri"/>
          <w:lang w:val="hr-HR"/>
        </w:rPr>
      </w:pPr>
    </w:p>
    <w:p w14:paraId="3FB2B128" w14:textId="77777777" w:rsidR="00132E7D" w:rsidRPr="0057750E" w:rsidRDefault="00132E7D" w:rsidP="00F030D3">
      <w:pPr>
        <w:spacing w:before="40" w:after="40" w:line="300" w:lineRule="auto"/>
        <w:ind w:left="720"/>
        <w:rPr>
          <w:rFonts w:ascii="Calibri" w:hAnsi="Calibri" w:cs="Calibri"/>
          <w:lang w:val="hr-HR"/>
        </w:rPr>
      </w:pPr>
    </w:p>
    <w:p w14:paraId="45432020" w14:textId="77777777" w:rsidR="00132E7D" w:rsidRPr="0057750E" w:rsidRDefault="00132E7D" w:rsidP="00F030D3">
      <w:pPr>
        <w:spacing w:before="40" w:after="40" w:line="300" w:lineRule="auto"/>
        <w:ind w:left="720"/>
        <w:rPr>
          <w:rFonts w:ascii="Calibri" w:hAnsi="Calibri" w:cs="Calibri"/>
          <w:lang w:val="hr-HR"/>
        </w:rPr>
      </w:pPr>
    </w:p>
    <w:p w14:paraId="3B34483D" w14:textId="77777777" w:rsidR="00132E7D" w:rsidRPr="00EA7FD9" w:rsidRDefault="00132E7D" w:rsidP="00F030D3">
      <w:pPr>
        <w:spacing w:before="40" w:after="40" w:line="300" w:lineRule="auto"/>
        <w:rPr>
          <w:rFonts w:ascii="Calibri" w:hAnsi="Calibri" w:cs="Calibri"/>
          <w:lang w:val="hr-HR"/>
        </w:rPr>
      </w:pPr>
    </w:p>
    <w:sectPr w:rsidR="00132E7D" w:rsidRPr="00EA7FD9" w:rsidSect="00FB5A65">
      <w:footerReference w:type="default" r:id="rId18"/>
      <w:pgSz w:w="11906" w:h="16838" w:code="9"/>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49579E" w15:done="0"/>
  <w15:commentEx w15:paraId="5AB3126D" w15:paraIdParent="2A49579E" w15:done="0"/>
  <w15:commentEx w15:paraId="22D6CB1F" w15:done="0"/>
  <w15:commentEx w15:paraId="253B30D7" w15:paraIdParent="22D6CB1F" w15:done="0"/>
  <w15:commentEx w15:paraId="6ACD7401" w15:done="0"/>
  <w15:commentEx w15:paraId="66E84AA3" w15:paraIdParent="6ACD74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AAE98" w14:textId="77777777" w:rsidR="00EC07AC" w:rsidRDefault="00EC07AC" w:rsidP="00AF63C8">
      <w:r>
        <w:separator/>
      </w:r>
    </w:p>
  </w:endnote>
  <w:endnote w:type="continuationSeparator" w:id="0">
    <w:p w14:paraId="5AC72E3F" w14:textId="77777777" w:rsidR="00EC07AC" w:rsidRDefault="00EC07AC" w:rsidP="00AF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C362A" w14:textId="3E55C1C8" w:rsidR="001866CA" w:rsidRPr="00CC7C5F" w:rsidRDefault="001866CA" w:rsidP="00F030D3">
    <w:pPr>
      <w:pStyle w:val="Footer"/>
      <w:pBdr>
        <w:top w:val="single" w:sz="4" w:space="1" w:color="auto"/>
      </w:pBdr>
      <w:ind w:left="-270" w:right="-514"/>
      <w:rPr>
        <w:rFonts w:ascii="Calibri" w:hAnsi="Calibri" w:cs="Calibri"/>
        <w:sz w:val="16"/>
        <w:szCs w:val="16"/>
      </w:rPr>
    </w:pPr>
    <w:r w:rsidRPr="00CC7C5F">
      <w:rPr>
        <w:rFonts w:ascii="Calibri" w:hAnsi="Calibri" w:cs="Calibri"/>
        <w:sz w:val="16"/>
        <w:szCs w:val="16"/>
      </w:rPr>
      <w:t xml:space="preserve">Final Report - Support in enhancing regional and territorial dimension in programming documents for EU funds 2014-2020 </w:t>
    </w:r>
    <w:r w:rsidRPr="00CC7C5F">
      <w:rPr>
        <w:rFonts w:ascii="Calibri" w:hAnsi="Calibri" w:cs="Calibri"/>
        <w:sz w:val="16"/>
        <w:szCs w:val="16"/>
      </w:rPr>
      <w:tab/>
    </w:r>
    <w:r w:rsidRPr="00CC7C5F">
      <w:rPr>
        <w:rFonts w:ascii="Calibri" w:hAnsi="Calibri" w:cs="Calibri"/>
        <w:sz w:val="16"/>
        <w:szCs w:val="16"/>
      </w:rPr>
      <w:fldChar w:fldCharType="begin"/>
    </w:r>
    <w:r w:rsidRPr="00CC7C5F">
      <w:rPr>
        <w:rFonts w:ascii="Calibri" w:hAnsi="Calibri" w:cs="Calibri"/>
        <w:sz w:val="16"/>
        <w:szCs w:val="16"/>
      </w:rPr>
      <w:instrText xml:space="preserve"> PAGE   \* MERGEFORMAT </w:instrText>
    </w:r>
    <w:r w:rsidRPr="00CC7C5F">
      <w:rPr>
        <w:rFonts w:ascii="Calibri" w:hAnsi="Calibri" w:cs="Calibri"/>
        <w:sz w:val="16"/>
        <w:szCs w:val="16"/>
      </w:rPr>
      <w:fldChar w:fldCharType="separate"/>
    </w:r>
    <w:r w:rsidR="00CF2B98">
      <w:rPr>
        <w:rFonts w:ascii="Calibri" w:hAnsi="Calibri" w:cs="Calibri"/>
        <w:noProof/>
        <w:sz w:val="16"/>
        <w:szCs w:val="16"/>
      </w:rPr>
      <w:t>2</w:t>
    </w:r>
    <w:r w:rsidRPr="00CC7C5F">
      <w:rPr>
        <w:rFonts w:ascii="Calibri" w:hAnsi="Calibri" w:cs="Calibri"/>
        <w:sz w:val="16"/>
        <w:szCs w:val="16"/>
      </w:rPr>
      <w:fldChar w:fldCharType="end"/>
    </w:r>
    <w:r w:rsidRPr="00CC7C5F">
      <w:rPr>
        <w:rFonts w:ascii="Calibri" w:hAnsi="Calibri" w:cs="Calibri"/>
        <w:sz w:val="16"/>
        <w:szCs w:val="16"/>
      </w:rPr>
      <w:t xml:space="preserve"> | Page</w:t>
    </w:r>
  </w:p>
  <w:p w14:paraId="4456AA39" w14:textId="7AF7DEA2" w:rsidR="001866CA" w:rsidRPr="00F030D3" w:rsidRDefault="001866CA" w:rsidP="00F030D3">
    <w:pPr>
      <w:pStyle w:val="Footer"/>
      <w:ind w:left="-270"/>
      <w:rPr>
        <w:sz w:val="16"/>
        <w:szCs w:val="16"/>
        <w:lang w:val="es-AR"/>
      </w:rPr>
    </w:pPr>
    <w:r w:rsidRPr="00F030D3">
      <w:rPr>
        <w:sz w:val="16"/>
        <w:szCs w:val="16"/>
        <w:lang w:val="es-AR"/>
      </w:rPr>
      <w:t xml:space="preserve">1.4 – </w:t>
    </w:r>
    <w:r w:rsidRPr="0086441C">
      <w:rPr>
        <w:sz w:val="16"/>
        <w:szCs w:val="16"/>
        <w:lang w:val="hr-HR"/>
      </w:rPr>
      <w:t xml:space="preserve">Preliminarna procjena potreba za korištenjem financijskog instrumenta JESSICA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790DD" w14:textId="77777777" w:rsidR="00EC07AC" w:rsidRDefault="00EC07AC" w:rsidP="00AF63C8">
      <w:r>
        <w:separator/>
      </w:r>
    </w:p>
  </w:footnote>
  <w:footnote w:type="continuationSeparator" w:id="0">
    <w:p w14:paraId="54E6DC3F" w14:textId="77777777" w:rsidR="00EC07AC" w:rsidRDefault="00EC07AC" w:rsidP="00AF63C8">
      <w:r>
        <w:continuationSeparator/>
      </w:r>
    </w:p>
  </w:footnote>
  <w:footnote w:id="1">
    <w:p w14:paraId="26ED8FC6" w14:textId="77777777" w:rsidR="001866CA" w:rsidRPr="00CF2B98" w:rsidRDefault="001866CA">
      <w:pPr>
        <w:pStyle w:val="FootnoteText"/>
        <w:rPr>
          <w:lang w:val="fr-FR"/>
        </w:rPr>
      </w:pPr>
      <w:r>
        <w:rPr>
          <w:rStyle w:val="FootnoteReference"/>
        </w:rPr>
        <w:footnoteRef/>
      </w:r>
      <w:r w:rsidRPr="00355331">
        <w:rPr>
          <w:lang w:val="it-IT"/>
        </w:rPr>
        <w:t xml:space="preserve"> </w:t>
      </w:r>
      <w:r w:rsidRPr="00355331">
        <w:rPr>
          <w:rFonts w:ascii="Calibri" w:hAnsi="Calibri" w:cs="Calibri"/>
          <w:sz w:val="16"/>
          <w:szCs w:val="16"/>
          <w:lang w:val="it-IT"/>
        </w:rPr>
        <w:t xml:space="preserve">V. Fiche br. 9 - </w:t>
      </w:r>
      <w:hyperlink r:id="rId1" w:anchor="2" w:history="1">
        <w:r w:rsidRPr="00355331">
          <w:rPr>
            <w:rStyle w:val="Hyperlink"/>
            <w:rFonts w:ascii="Calibri" w:hAnsi="Calibri" w:cs="Calibri"/>
            <w:sz w:val="16"/>
            <w:szCs w:val="16"/>
            <w:lang w:val="it-IT"/>
          </w:rPr>
          <w:t>http://ec.europa.eu/regional_policy/what/future/experts_documents_en.cfm#2</w:t>
        </w:r>
      </w:hyperlink>
      <w:r w:rsidRPr="00355331">
        <w:rPr>
          <w:lang w:val="it-IT"/>
        </w:rPr>
        <w:t xml:space="preserve"> </w:t>
      </w:r>
    </w:p>
  </w:footnote>
  <w:footnote w:id="2">
    <w:p w14:paraId="02B1569B" w14:textId="77777777" w:rsidR="001866CA" w:rsidRPr="00CF2B98" w:rsidRDefault="001866CA">
      <w:pPr>
        <w:pStyle w:val="FootnoteText"/>
        <w:rPr>
          <w:lang w:val="hr-HR"/>
        </w:rPr>
      </w:pPr>
      <w:r w:rsidRPr="00330C65">
        <w:rPr>
          <w:rStyle w:val="FootnoteReference"/>
          <w:rFonts w:ascii="Calibri" w:hAnsi="Calibri" w:cs="Calibri"/>
          <w:sz w:val="16"/>
          <w:szCs w:val="16"/>
          <w:lang w:val="hr-HR"/>
        </w:rPr>
        <w:footnoteRef/>
      </w:r>
      <w:r w:rsidRPr="00330C65">
        <w:rPr>
          <w:rFonts w:ascii="Calibri" w:hAnsi="Calibri" w:cs="Calibri"/>
          <w:sz w:val="16"/>
          <w:szCs w:val="16"/>
          <w:lang w:val="hr-HR"/>
        </w:rPr>
        <w:t xml:space="preserve"> </w:t>
      </w:r>
      <w:r w:rsidRPr="00330C65">
        <w:rPr>
          <w:rFonts w:ascii="Calibri" w:hAnsi="Calibri" w:cs="Calibri"/>
          <w:sz w:val="16"/>
          <w:szCs w:val="16"/>
          <w:lang w:val="hr-HR"/>
        </w:rPr>
        <w:t>Centar za istraživanje europskih politika, 2011</w:t>
      </w:r>
      <w:r w:rsidRPr="005D21E9">
        <w:rPr>
          <w:rFonts w:ascii="Calibri" w:hAnsi="Calibri" w:cs="Calibri"/>
          <w:sz w:val="16"/>
          <w:szCs w:val="16"/>
          <w:lang w:val="hr-HR"/>
        </w:rPr>
        <w:t xml:space="preserve">., ‘Između Scile i Haribde: Navigacija instrumenata financijskog inženjeringa kroz zahtjeve strukturnog fonda i državnih potpora’ (IQ-Net Tematski dokument 29(2). </w:t>
      </w:r>
      <w:hyperlink r:id="rId2" w:history="1">
        <w:r w:rsidRPr="00FF68C3">
          <w:rPr>
            <w:rStyle w:val="Hyperlink"/>
            <w:rFonts w:ascii="Calibri" w:hAnsi="Calibri" w:cs="Calibri"/>
            <w:sz w:val="16"/>
            <w:szCs w:val="16"/>
            <w:lang w:val="hr-HR"/>
          </w:rPr>
          <w:t>http://www.eprc.strath.ac.uk/iqnet/downloads/IQ-Net_Reports(Public)/ThematicPaper29(2)Final.pdf</w:t>
        </w:r>
      </w:hyperlink>
      <w:r>
        <w:rPr>
          <w:rFonts w:ascii="Calibri" w:hAnsi="Calibri" w:cs="Calibri"/>
          <w:sz w:val="16"/>
          <w:szCs w:val="16"/>
          <w:lang w:val="hr-HR"/>
        </w:rPr>
        <w:t xml:space="preserve"> </w:t>
      </w:r>
    </w:p>
  </w:footnote>
  <w:footnote w:id="3">
    <w:p w14:paraId="68542A35" w14:textId="77777777" w:rsidR="001866CA" w:rsidRDefault="001866CA">
      <w:pPr>
        <w:pStyle w:val="FootnoteText"/>
      </w:pPr>
      <w:r w:rsidRPr="00330C65">
        <w:rPr>
          <w:rStyle w:val="FootnoteReference"/>
          <w:rFonts w:ascii="Calibri" w:hAnsi="Calibri" w:cs="Calibri"/>
          <w:sz w:val="16"/>
          <w:szCs w:val="16"/>
          <w:lang w:val="hr-HR"/>
        </w:rPr>
        <w:footnoteRef/>
      </w:r>
      <w:r w:rsidRPr="00330C65">
        <w:rPr>
          <w:rFonts w:ascii="Calibri" w:hAnsi="Calibri" w:cs="Calibri"/>
          <w:sz w:val="16"/>
          <w:szCs w:val="16"/>
          <w:lang w:val="hr-HR"/>
        </w:rPr>
        <w:t xml:space="preserve"> </w:t>
      </w:r>
      <w:r w:rsidRPr="00330C65">
        <w:rPr>
          <w:rFonts w:ascii="Calibri" w:hAnsi="Calibri" w:cs="Calibri"/>
          <w:sz w:val="16"/>
          <w:szCs w:val="16"/>
          <w:lang w:val="hr-HR"/>
        </w:rPr>
        <w:t xml:space="preserve">Izvor: European Economic &amp; Marketing Consultants GmbH, 2014. </w:t>
      </w:r>
    </w:p>
  </w:footnote>
  <w:footnote w:id="4">
    <w:p w14:paraId="7FE43268" w14:textId="77777777" w:rsidR="001866CA" w:rsidRDefault="001866CA" w:rsidP="00504AE4">
      <w:pPr>
        <w:pStyle w:val="FootnoteText"/>
      </w:pPr>
      <w:r w:rsidRPr="002D3469">
        <w:rPr>
          <w:rStyle w:val="FootnoteReference"/>
          <w:rFonts w:ascii="Calibri" w:hAnsi="Calibri" w:cs="Calibri"/>
          <w:sz w:val="16"/>
          <w:szCs w:val="16"/>
          <w:lang w:val="hr-HR"/>
        </w:rPr>
        <w:footnoteRef/>
      </w:r>
      <w:r w:rsidRPr="002D3469">
        <w:rPr>
          <w:rFonts w:ascii="Calibri" w:hAnsi="Calibri" w:cs="Calibri"/>
          <w:sz w:val="16"/>
          <w:szCs w:val="16"/>
          <w:lang w:val="hr-HR"/>
        </w:rPr>
        <w:t xml:space="preserve"> Izvor: </w:t>
      </w:r>
      <w:r>
        <w:rPr>
          <w:rFonts w:ascii="Calibri" w:hAnsi="Calibri" w:cs="Calibri"/>
          <w:sz w:val="16"/>
          <w:szCs w:val="16"/>
          <w:lang w:val="hr-HR"/>
        </w:rPr>
        <w:t xml:space="preserve">Opća uprava za regionalnu i urbanu politiku i Opća uprava za zapošljavanje, socijalna pitanja i uključenost </w:t>
      </w:r>
      <w:r w:rsidRPr="002D3469">
        <w:rPr>
          <w:rFonts w:ascii="Calibri" w:hAnsi="Calibri" w:cs="Calibri"/>
          <w:sz w:val="16"/>
          <w:szCs w:val="16"/>
          <w:lang w:val="hr-HR"/>
        </w:rPr>
        <w:t>2012., S</w:t>
      </w:r>
      <w:r>
        <w:rPr>
          <w:rFonts w:ascii="Calibri" w:hAnsi="Calibri" w:cs="Calibri"/>
          <w:sz w:val="16"/>
          <w:szCs w:val="16"/>
          <w:lang w:val="hr-HR"/>
        </w:rPr>
        <w:t>ažeto izvješće</w:t>
      </w:r>
      <w:r w:rsidRPr="002D3469">
        <w:rPr>
          <w:rFonts w:ascii="Calibri" w:hAnsi="Calibri" w:cs="Calibri"/>
          <w:sz w:val="16"/>
          <w:szCs w:val="16"/>
          <w:lang w:val="hr-HR"/>
        </w:rPr>
        <w:t xml:space="preserve"> </w:t>
      </w:r>
      <w:r>
        <w:rPr>
          <w:rFonts w:ascii="Calibri" w:hAnsi="Calibri" w:cs="Calibri"/>
          <w:sz w:val="16"/>
          <w:szCs w:val="16"/>
          <w:lang w:val="hr-HR"/>
        </w:rPr>
        <w:t>o napretku u pogledu financiranja i provedbe instrumenata financijskog inženjeringa</w:t>
      </w:r>
      <w:r w:rsidRPr="002D3469">
        <w:rPr>
          <w:rFonts w:ascii="Calibri" w:hAnsi="Calibri" w:cs="Calibri"/>
          <w:sz w:val="16"/>
          <w:szCs w:val="16"/>
          <w:lang w:val="hr-HR"/>
        </w:rPr>
        <w:t xml:space="preserve"> </w:t>
      </w:r>
      <w:r>
        <w:rPr>
          <w:rFonts w:ascii="Calibri" w:hAnsi="Calibri" w:cs="Calibri"/>
          <w:sz w:val="16"/>
          <w:szCs w:val="16"/>
          <w:lang w:val="hr-HR"/>
        </w:rPr>
        <w:t>sufinanciranih iz Strukturnih fondova</w:t>
      </w:r>
      <w:r w:rsidRPr="002D3469">
        <w:rPr>
          <w:rFonts w:ascii="Calibri" w:hAnsi="Calibri" w:cs="Calibri"/>
          <w:sz w:val="16"/>
          <w:szCs w:val="16"/>
          <w:lang w:val="hr-HR"/>
        </w:rPr>
        <w:t xml:space="preserve">. </w:t>
      </w:r>
    </w:p>
  </w:footnote>
  <w:footnote w:id="5">
    <w:p w14:paraId="706EB9FD" w14:textId="77777777" w:rsidR="001866CA" w:rsidRDefault="001866CA" w:rsidP="00504AE4">
      <w:pPr>
        <w:pStyle w:val="FootnoteText"/>
      </w:pPr>
      <w:r w:rsidRPr="002D3469">
        <w:rPr>
          <w:rStyle w:val="FootnoteReference"/>
          <w:rFonts w:ascii="Calibri" w:hAnsi="Calibri" w:cs="Calibri"/>
          <w:sz w:val="16"/>
          <w:szCs w:val="16"/>
          <w:lang w:val="hr-HR"/>
        </w:rPr>
        <w:footnoteRef/>
      </w:r>
      <w:r w:rsidRPr="002D3469">
        <w:rPr>
          <w:rFonts w:ascii="Calibri" w:hAnsi="Calibri" w:cs="Calibri"/>
          <w:sz w:val="16"/>
          <w:szCs w:val="16"/>
          <w:lang w:val="hr-HR"/>
        </w:rPr>
        <w:t xml:space="preserve"> </w:t>
      </w:r>
      <w:r>
        <w:rPr>
          <w:rFonts w:ascii="Calibri" w:hAnsi="Calibri" w:cs="Calibri"/>
          <w:sz w:val="16"/>
          <w:szCs w:val="16"/>
          <w:lang w:val="hr-HR"/>
        </w:rPr>
        <w:t>U ovom kontekstu treba napomenuti da instrumenti financijskog inženjeringa obuhvaćaju holding fondove i fondove provedene bez holding fonda</w:t>
      </w:r>
      <w:r w:rsidRPr="002D3469">
        <w:rPr>
          <w:rFonts w:ascii="Calibri" w:hAnsi="Calibri" w:cs="Calibri"/>
          <w:sz w:val="16"/>
          <w:szCs w:val="16"/>
          <w:lang w:val="hr-HR"/>
        </w:rPr>
        <w:t>.</w:t>
      </w:r>
      <w:r w:rsidRPr="00F030D3">
        <w:rPr>
          <w:rFonts w:ascii="Calibri" w:hAnsi="Calibri" w:cs="Calibri"/>
          <w:sz w:val="16"/>
          <w:szCs w:val="16"/>
          <w:lang w:val="hr-HR"/>
        </w:rPr>
        <w:t xml:space="preserve">  </w:t>
      </w:r>
    </w:p>
  </w:footnote>
  <w:footnote w:id="6">
    <w:p w14:paraId="62E202A3" w14:textId="77777777" w:rsidR="001866CA" w:rsidRDefault="001866CA" w:rsidP="00504AE4">
      <w:pPr>
        <w:pStyle w:val="FootnoteText"/>
      </w:pPr>
      <w:r w:rsidRPr="00C4457A">
        <w:rPr>
          <w:rStyle w:val="FootnoteReference"/>
          <w:rFonts w:ascii="Calibri" w:hAnsi="Calibri" w:cs="Calibri"/>
          <w:sz w:val="16"/>
          <w:szCs w:val="16"/>
          <w:lang w:val="hr-HR"/>
        </w:rPr>
        <w:footnoteRef/>
      </w:r>
      <w:r w:rsidRPr="00C4457A">
        <w:rPr>
          <w:rFonts w:ascii="Calibri" w:hAnsi="Calibri" w:cs="Calibri"/>
          <w:sz w:val="16"/>
          <w:szCs w:val="16"/>
          <w:lang w:val="hr-HR"/>
        </w:rPr>
        <w:t xml:space="preserve"> </w:t>
      </w:r>
      <w:r w:rsidRPr="00330C65">
        <w:rPr>
          <w:rFonts w:ascii="Calibri" w:hAnsi="Calibri" w:cs="Calibri"/>
          <w:sz w:val="16"/>
          <w:szCs w:val="16"/>
          <w:lang w:val="hr-HR"/>
        </w:rPr>
        <w:t>Centar za istraživanje europskih politika, 2011.</w:t>
      </w:r>
      <w:r>
        <w:rPr>
          <w:rFonts w:ascii="Calibri" w:hAnsi="Calibri" w:cs="Calibri"/>
          <w:sz w:val="16"/>
          <w:szCs w:val="16"/>
          <w:lang w:val="hr-HR"/>
        </w:rPr>
        <w:t xml:space="preserve">, </w:t>
      </w:r>
      <w:r w:rsidRPr="009D0364">
        <w:rPr>
          <w:rFonts w:ascii="Calibri" w:hAnsi="Calibri" w:cs="Calibri"/>
          <w:sz w:val="16"/>
          <w:szCs w:val="16"/>
          <w:lang w:val="hr-HR"/>
        </w:rPr>
        <w:t xml:space="preserve">Između Scile i Haribde: Navigacija instrumenata financijskog inženjeringa kroz zahtjeve strukturnog fonda i državnih potpora. </w:t>
      </w:r>
    </w:p>
  </w:footnote>
  <w:footnote w:id="7">
    <w:p w14:paraId="138C1E6E" w14:textId="77777777" w:rsidR="001866CA" w:rsidRDefault="001866CA" w:rsidP="00504AE4">
      <w:pPr>
        <w:pStyle w:val="FootnoteText"/>
      </w:pPr>
      <w:r w:rsidRPr="009D0364">
        <w:rPr>
          <w:rStyle w:val="FootnoteReference"/>
          <w:rFonts w:ascii="Calibri" w:hAnsi="Calibri" w:cs="Calibri"/>
          <w:sz w:val="16"/>
          <w:szCs w:val="16"/>
          <w:lang w:val="hr-HR"/>
        </w:rPr>
        <w:footnoteRef/>
      </w:r>
      <w:r w:rsidRPr="009D0364">
        <w:rPr>
          <w:rFonts w:ascii="Calibri" w:hAnsi="Calibri" w:cs="Calibri"/>
          <w:sz w:val="16"/>
          <w:szCs w:val="16"/>
          <w:lang w:val="hr-HR"/>
        </w:rPr>
        <w:t xml:space="preserve"> Fraser Associates 2011., Operativni program za Sjeverozapadnu</w:t>
      </w:r>
      <w:r>
        <w:rPr>
          <w:rFonts w:ascii="Calibri" w:hAnsi="Calibri" w:cs="Calibri"/>
          <w:sz w:val="16"/>
          <w:szCs w:val="16"/>
          <w:lang w:val="hr-HR"/>
        </w:rPr>
        <w:t xml:space="preserve"> Englesku za razdoblje</w:t>
      </w:r>
      <w:r w:rsidRPr="00C4457A">
        <w:rPr>
          <w:rFonts w:ascii="Calibri" w:hAnsi="Calibri" w:cs="Calibri"/>
          <w:sz w:val="16"/>
          <w:szCs w:val="16"/>
          <w:lang w:val="hr-HR"/>
        </w:rPr>
        <w:t xml:space="preserve"> 2007</w:t>
      </w:r>
      <w:r>
        <w:rPr>
          <w:rFonts w:ascii="Calibri" w:hAnsi="Calibri" w:cs="Calibri"/>
          <w:sz w:val="16"/>
          <w:szCs w:val="16"/>
          <w:lang w:val="hr-HR"/>
        </w:rPr>
        <w:t>.</w:t>
      </w:r>
      <w:r w:rsidRPr="00C4457A">
        <w:rPr>
          <w:rFonts w:ascii="Calibri" w:hAnsi="Calibri" w:cs="Calibri"/>
          <w:sz w:val="16"/>
          <w:szCs w:val="16"/>
          <w:lang w:val="hr-HR"/>
        </w:rPr>
        <w:t>-</w:t>
      </w:r>
      <w:r>
        <w:rPr>
          <w:rFonts w:ascii="Calibri" w:hAnsi="Calibri" w:cs="Calibri"/>
          <w:sz w:val="16"/>
          <w:szCs w:val="16"/>
          <w:lang w:val="hr-HR"/>
        </w:rPr>
        <w:t>20</w:t>
      </w:r>
      <w:r w:rsidRPr="00C4457A">
        <w:rPr>
          <w:rFonts w:ascii="Calibri" w:hAnsi="Calibri" w:cs="Calibri"/>
          <w:sz w:val="16"/>
          <w:szCs w:val="16"/>
          <w:lang w:val="hr-HR"/>
        </w:rPr>
        <w:t>13</w:t>
      </w:r>
      <w:r>
        <w:rPr>
          <w:rFonts w:ascii="Calibri" w:hAnsi="Calibri" w:cs="Calibri"/>
          <w:sz w:val="16"/>
          <w:szCs w:val="16"/>
          <w:lang w:val="hr-HR"/>
        </w:rPr>
        <w:t>. financiran sredstvima</w:t>
      </w:r>
      <w:r w:rsidRPr="0041277B">
        <w:rPr>
          <w:rFonts w:ascii="Calibri" w:hAnsi="Calibri" w:cs="Calibri"/>
          <w:sz w:val="16"/>
          <w:szCs w:val="16"/>
          <w:lang w:val="hr-HR"/>
        </w:rPr>
        <w:t xml:space="preserve"> </w:t>
      </w:r>
      <w:r>
        <w:rPr>
          <w:rFonts w:ascii="Calibri" w:hAnsi="Calibri" w:cs="Calibri"/>
          <w:sz w:val="16"/>
          <w:szCs w:val="16"/>
          <w:lang w:val="hr-HR"/>
        </w:rPr>
        <w:t>Europskog fonda za regionalni razvoj</w:t>
      </w:r>
      <w:r w:rsidRPr="00C4457A">
        <w:rPr>
          <w:rFonts w:ascii="Calibri" w:hAnsi="Calibri" w:cs="Calibri"/>
          <w:sz w:val="16"/>
          <w:szCs w:val="16"/>
          <w:lang w:val="hr-HR"/>
        </w:rPr>
        <w:t xml:space="preserve"> </w:t>
      </w:r>
      <w:r>
        <w:rPr>
          <w:rFonts w:ascii="Calibri" w:hAnsi="Calibri" w:cs="Calibri"/>
          <w:sz w:val="16"/>
          <w:szCs w:val="16"/>
          <w:lang w:val="hr-HR"/>
        </w:rPr>
        <w:t>–</w:t>
      </w:r>
      <w:r w:rsidRPr="00C4457A">
        <w:rPr>
          <w:rFonts w:ascii="Calibri" w:hAnsi="Calibri" w:cs="Calibri"/>
          <w:sz w:val="16"/>
          <w:szCs w:val="16"/>
          <w:lang w:val="hr-HR"/>
        </w:rPr>
        <w:t xml:space="preserve"> </w:t>
      </w:r>
      <w:r>
        <w:rPr>
          <w:rFonts w:ascii="Calibri" w:hAnsi="Calibri" w:cs="Calibri"/>
          <w:sz w:val="16"/>
          <w:szCs w:val="16"/>
          <w:lang w:val="hr-HR"/>
        </w:rPr>
        <w:t>Analiza i reprogramiranje investicijskih okvira za financiranje iz Europskog fonda za regionalni razvoj</w:t>
      </w:r>
      <w:r w:rsidRPr="00C4457A">
        <w:rPr>
          <w:rFonts w:ascii="Calibri" w:hAnsi="Calibri" w:cs="Calibri"/>
          <w:sz w:val="16"/>
          <w:szCs w:val="16"/>
          <w:lang w:val="hr-HR"/>
        </w:rPr>
        <w:t xml:space="preserve"> </w:t>
      </w:r>
      <w:r>
        <w:rPr>
          <w:rFonts w:ascii="Calibri" w:hAnsi="Calibri" w:cs="Calibri"/>
          <w:sz w:val="16"/>
          <w:szCs w:val="16"/>
          <w:lang w:val="hr-HR"/>
        </w:rPr>
        <w:t>i</w:t>
      </w:r>
      <w:r w:rsidRPr="00C4457A">
        <w:rPr>
          <w:rFonts w:ascii="Calibri" w:hAnsi="Calibri" w:cs="Calibri"/>
          <w:sz w:val="16"/>
          <w:szCs w:val="16"/>
          <w:lang w:val="hr-HR"/>
        </w:rPr>
        <w:t xml:space="preserve"> </w:t>
      </w:r>
      <w:r w:rsidRPr="009D0364">
        <w:rPr>
          <w:rFonts w:ascii="Calibri" w:hAnsi="Calibri" w:cs="Calibri"/>
          <w:sz w:val="16"/>
          <w:szCs w:val="16"/>
          <w:lang w:val="hr-HR"/>
        </w:rPr>
        <w:t>ponovna kvantifikacija.</w:t>
      </w:r>
    </w:p>
  </w:footnote>
  <w:footnote w:id="8">
    <w:p w14:paraId="01781511" w14:textId="77777777" w:rsidR="001866CA" w:rsidRPr="00CF2B98" w:rsidRDefault="001866CA" w:rsidP="00C4457A">
      <w:pPr>
        <w:pStyle w:val="FootnoteText"/>
        <w:jc w:val="left"/>
        <w:rPr>
          <w:lang w:val="hr-HR"/>
        </w:rPr>
      </w:pPr>
      <w:r w:rsidRPr="00C4457A">
        <w:rPr>
          <w:rStyle w:val="FootnoteReference"/>
          <w:lang w:val="hr-HR"/>
        </w:rPr>
        <w:footnoteRef/>
      </w:r>
      <w:r w:rsidRPr="00C4457A">
        <w:rPr>
          <w:lang w:val="hr-HR"/>
        </w:rPr>
        <w:t xml:space="preserve"> </w:t>
      </w:r>
      <w:r w:rsidRPr="00C4457A">
        <w:rPr>
          <w:rFonts w:ascii="Calibri" w:hAnsi="Calibri" w:cs="Calibri"/>
          <w:sz w:val="16"/>
          <w:szCs w:val="16"/>
          <w:lang w:val="hr-HR"/>
        </w:rPr>
        <w:t xml:space="preserve">Europska udruga za informiranje o lokalnom razvoju (AEIDL) 2013., Urbani razvoj u EU: 50 projekata </w:t>
      </w:r>
      <w:r>
        <w:rPr>
          <w:rFonts w:ascii="Calibri" w:hAnsi="Calibri" w:cs="Calibri"/>
          <w:sz w:val="16"/>
          <w:szCs w:val="16"/>
          <w:lang w:val="hr-HR"/>
        </w:rPr>
        <w:t xml:space="preserve">financiranih uz potporu Europskog fonda za regionalni razvoj u razdoblju </w:t>
      </w:r>
      <w:r w:rsidRPr="00C4457A">
        <w:rPr>
          <w:rFonts w:ascii="Calibri" w:hAnsi="Calibri" w:cs="Calibri"/>
          <w:sz w:val="16"/>
          <w:szCs w:val="16"/>
          <w:lang w:val="hr-HR"/>
        </w:rPr>
        <w:t>2007-2013.</w:t>
      </w:r>
      <w:r>
        <w:rPr>
          <w:rFonts w:ascii="Calibri" w:hAnsi="Calibri" w:cs="Calibri"/>
          <w:sz w:val="16"/>
          <w:szCs w:val="16"/>
          <w:lang w:val="hr-HR"/>
        </w:rPr>
        <w:t xml:space="preserve"> </w:t>
      </w:r>
      <w:hyperlink r:id="rId3" w:history="1">
        <w:r w:rsidRPr="00FF68C3">
          <w:rPr>
            <w:rStyle w:val="Hyperlink"/>
            <w:rFonts w:ascii="Calibri" w:hAnsi="Calibri" w:cs="Calibri"/>
            <w:sz w:val="16"/>
            <w:szCs w:val="16"/>
            <w:lang w:val="hr-HR"/>
          </w:rPr>
          <w:t>http://ec.europa.eu/regional_policy/sources/docgener/studies/hhpdf/50_projects/urban_dev_erdf50.pdf</w:t>
        </w:r>
      </w:hyperlink>
      <w:r>
        <w:rPr>
          <w:rFonts w:ascii="Calibri" w:hAnsi="Calibri" w:cs="Calibri"/>
          <w:sz w:val="16"/>
          <w:szCs w:val="16"/>
          <w:lang w:val="hr-HR"/>
        </w:rPr>
        <w:t xml:space="preserve"> </w:t>
      </w:r>
    </w:p>
  </w:footnote>
  <w:footnote w:id="9">
    <w:p w14:paraId="76CCDC01" w14:textId="77777777" w:rsidR="001866CA" w:rsidRPr="00CF2B98" w:rsidRDefault="001866CA">
      <w:pPr>
        <w:pStyle w:val="FootnoteText"/>
        <w:rPr>
          <w:lang w:val="hr-HR"/>
        </w:rPr>
      </w:pPr>
      <w:r w:rsidRPr="000A41E2">
        <w:rPr>
          <w:rStyle w:val="FootnoteReference"/>
          <w:rFonts w:ascii="Calibri" w:hAnsi="Calibri" w:cs="Calibri"/>
          <w:sz w:val="16"/>
          <w:szCs w:val="16"/>
          <w:lang w:val="hr-HR"/>
        </w:rPr>
        <w:footnoteRef/>
      </w:r>
      <w:r w:rsidRPr="000A41E2">
        <w:rPr>
          <w:rFonts w:ascii="Calibri" w:hAnsi="Calibri" w:cs="Calibri"/>
          <w:sz w:val="16"/>
          <w:szCs w:val="16"/>
          <w:lang w:val="hr-HR"/>
        </w:rPr>
        <w:t xml:space="preserve"> </w:t>
      </w:r>
      <w:r>
        <w:rPr>
          <w:rFonts w:ascii="Calibri" w:hAnsi="Calibri" w:cs="Calibri"/>
          <w:sz w:val="16"/>
          <w:szCs w:val="16"/>
          <w:lang w:val="hr-HR"/>
        </w:rPr>
        <w:t>P</w:t>
      </w:r>
      <w:r w:rsidRPr="000A41E2">
        <w:rPr>
          <w:rFonts w:ascii="Calibri" w:hAnsi="Calibri" w:cs="Calibri"/>
          <w:sz w:val="16"/>
          <w:szCs w:val="16"/>
          <w:lang w:val="hr-HR"/>
        </w:rPr>
        <w:t>oslovnim prostorom</w:t>
      </w:r>
      <w:r>
        <w:rPr>
          <w:rFonts w:ascii="Calibri" w:hAnsi="Calibri" w:cs="Calibri"/>
          <w:sz w:val="16"/>
          <w:szCs w:val="16"/>
          <w:lang w:val="hr-HR"/>
        </w:rPr>
        <w:t xml:space="preserve"> prve, tj. </w:t>
      </w:r>
      <w:r w:rsidRPr="000A41E2">
        <w:rPr>
          <w:rFonts w:ascii="Calibri" w:hAnsi="Calibri" w:cs="Calibri"/>
          <w:sz w:val="16"/>
          <w:szCs w:val="16"/>
          <w:lang w:val="hr-HR"/>
        </w:rPr>
        <w:t>A klase smatra se novi</w:t>
      </w:r>
      <w:r>
        <w:rPr>
          <w:rFonts w:ascii="Calibri" w:hAnsi="Calibri" w:cs="Calibri"/>
          <w:sz w:val="16"/>
          <w:szCs w:val="16"/>
          <w:lang w:val="hr-HR"/>
        </w:rPr>
        <w:t xml:space="preserve"> ili nedavno izgrađen</w:t>
      </w:r>
      <w:r w:rsidRPr="000A41E2">
        <w:rPr>
          <w:rFonts w:ascii="Calibri" w:hAnsi="Calibri" w:cs="Calibri"/>
          <w:sz w:val="16"/>
          <w:szCs w:val="16"/>
          <w:lang w:val="hr-HR"/>
        </w:rPr>
        <w:t xml:space="preserve"> uredski prostor </w:t>
      </w:r>
      <w:r>
        <w:rPr>
          <w:rFonts w:ascii="Calibri" w:hAnsi="Calibri" w:cs="Calibri"/>
          <w:sz w:val="16"/>
          <w:szCs w:val="16"/>
          <w:lang w:val="hr-HR"/>
        </w:rPr>
        <w:t>visokih standarda</w:t>
      </w:r>
      <w:r w:rsidRPr="000A41E2">
        <w:rPr>
          <w:rFonts w:ascii="Calibri" w:hAnsi="Calibri" w:cs="Calibri"/>
          <w:sz w:val="16"/>
          <w:szCs w:val="16"/>
          <w:lang w:val="hr-HR"/>
        </w:rPr>
        <w:t xml:space="preserve"> </w:t>
      </w:r>
      <w:r>
        <w:rPr>
          <w:rFonts w:ascii="Calibri" w:hAnsi="Calibri" w:cs="Calibri"/>
          <w:sz w:val="16"/>
          <w:szCs w:val="16"/>
          <w:lang w:val="hr-HR"/>
        </w:rPr>
        <w:t>na atraktivnoj lokaciji</w:t>
      </w:r>
      <w:r w:rsidRPr="000A41E2">
        <w:rPr>
          <w:rFonts w:ascii="Calibri" w:hAnsi="Calibri" w:cs="Calibri"/>
          <w:sz w:val="16"/>
          <w:szCs w:val="16"/>
          <w:lang w:val="hr-HR"/>
        </w:rPr>
        <w:t>.</w:t>
      </w:r>
    </w:p>
  </w:footnote>
  <w:footnote w:id="10">
    <w:p w14:paraId="2C21005C" w14:textId="77777777" w:rsidR="001866CA" w:rsidRPr="00CF2B98" w:rsidRDefault="001866CA">
      <w:pPr>
        <w:pStyle w:val="FootnoteText"/>
        <w:rPr>
          <w:lang w:val="hr-HR"/>
        </w:rPr>
      </w:pPr>
      <w:r w:rsidRPr="000A41E2">
        <w:rPr>
          <w:rStyle w:val="FootnoteReference"/>
          <w:rFonts w:ascii="Calibri" w:hAnsi="Calibri" w:cs="Calibri"/>
          <w:sz w:val="16"/>
          <w:szCs w:val="16"/>
          <w:lang w:val="hr-HR"/>
        </w:rPr>
        <w:footnoteRef/>
      </w:r>
      <w:r w:rsidRPr="000A41E2">
        <w:rPr>
          <w:rFonts w:ascii="Calibri" w:hAnsi="Calibri" w:cs="Calibri"/>
          <w:sz w:val="16"/>
          <w:szCs w:val="16"/>
          <w:lang w:val="hr-HR"/>
        </w:rPr>
        <w:t xml:space="preserve"> </w:t>
      </w:r>
      <w:r>
        <w:rPr>
          <w:rFonts w:ascii="Calibri" w:hAnsi="Calibri" w:cs="Calibri"/>
          <w:sz w:val="16"/>
          <w:szCs w:val="16"/>
          <w:lang w:val="hr-HR"/>
        </w:rPr>
        <w:t>Izvor</w:t>
      </w:r>
      <w:r w:rsidRPr="000A41E2">
        <w:rPr>
          <w:rFonts w:ascii="Calibri" w:hAnsi="Calibri" w:cs="Calibri"/>
          <w:sz w:val="16"/>
          <w:szCs w:val="16"/>
          <w:lang w:val="hr-HR"/>
        </w:rPr>
        <w:t xml:space="preserve">: DTZ, </w:t>
      </w:r>
      <w:r>
        <w:rPr>
          <w:rFonts w:ascii="Calibri" w:hAnsi="Calibri" w:cs="Calibri"/>
          <w:sz w:val="16"/>
          <w:szCs w:val="16"/>
          <w:lang w:val="hr-HR"/>
        </w:rPr>
        <w:t xml:space="preserve">Izvješća o tržištu nekretnina, </w:t>
      </w:r>
      <w:r w:rsidRPr="000A41E2">
        <w:rPr>
          <w:rFonts w:ascii="Calibri" w:hAnsi="Calibri" w:cs="Calibri"/>
          <w:sz w:val="16"/>
          <w:szCs w:val="16"/>
          <w:lang w:val="hr-HR"/>
        </w:rPr>
        <w:t xml:space="preserve">Jones Lang Lasalle.  </w:t>
      </w:r>
    </w:p>
  </w:footnote>
  <w:footnote w:id="11">
    <w:p w14:paraId="0917A151" w14:textId="77777777" w:rsidR="001866CA" w:rsidRPr="00CF2B98" w:rsidRDefault="001866CA" w:rsidP="00236384">
      <w:pPr>
        <w:pStyle w:val="FootnoteText"/>
        <w:rPr>
          <w:lang w:val="hr-HR"/>
        </w:rPr>
      </w:pPr>
      <w:r w:rsidRPr="00CA483E">
        <w:rPr>
          <w:rStyle w:val="FootnoteReference"/>
          <w:rFonts w:ascii="Calibri" w:hAnsi="Calibri" w:cs="Calibri"/>
          <w:sz w:val="16"/>
          <w:szCs w:val="16"/>
        </w:rPr>
        <w:footnoteRef/>
      </w:r>
      <w:r w:rsidRPr="00F030D3">
        <w:rPr>
          <w:rFonts w:ascii="Calibri" w:hAnsi="Calibri" w:cs="Calibri"/>
          <w:sz w:val="16"/>
          <w:szCs w:val="16"/>
          <w:lang w:val="hr-HR"/>
        </w:rPr>
        <w:t xml:space="preserve"> </w:t>
      </w:r>
      <w:r w:rsidRPr="00664B79">
        <w:rPr>
          <w:rFonts w:ascii="Calibri" w:hAnsi="Calibri" w:cs="Calibri"/>
          <w:sz w:val="16"/>
          <w:szCs w:val="16"/>
          <w:lang w:val="hr-HR"/>
        </w:rPr>
        <w:t>Financir</w:t>
      </w:r>
      <w:r>
        <w:rPr>
          <w:rFonts w:ascii="Calibri" w:hAnsi="Calibri" w:cs="Calibri"/>
          <w:sz w:val="16"/>
          <w:szCs w:val="16"/>
          <w:lang w:val="hr-HR"/>
        </w:rPr>
        <w:t>anje energetske učinkovitosti: Uspostavljanje poveznice</w:t>
      </w:r>
      <w:r w:rsidRPr="00664B79">
        <w:rPr>
          <w:rFonts w:ascii="Calibri" w:hAnsi="Calibri" w:cs="Calibri"/>
          <w:sz w:val="16"/>
          <w:szCs w:val="16"/>
          <w:lang w:val="hr-HR"/>
        </w:rPr>
        <w:t xml:space="preserve"> </w:t>
      </w:r>
      <w:r>
        <w:rPr>
          <w:rFonts w:ascii="Calibri" w:hAnsi="Calibri" w:cs="Calibri"/>
          <w:sz w:val="16"/>
          <w:szCs w:val="16"/>
          <w:lang w:val="hr-HR"/>
        </w:rPr>
        <w:t>između financiranja i provedbe projekta</w:t>
      </w:r>
      <w:r w:rsidRPr="00664B79">
        <w:rPr>
          <w:rFonts w:ascii="Calibri" w:hAnsi="Calibri" w:cs="Calibri"/>
          <w:sz w:val="16"/>
          <w:szCs w:val="16"/>
          <w:lang w:val="hr-HR"/>
        </w:rPr>
        <w:t xml:space="preserve">– </w:t>
      </w:r>
      <w:r>
        <w:rPr>
          <w:rFonts w:ascii="Calibri" w:hAnsi="Calibri" w:cs="Calibri"/>
          <w:sz w:val="16"/>
          <w:szCs w:val="16"/>
          <w:lang w:val="hr-HR"/>
        </w:rPr>
        <w:t xml:space="preserve">Zajednički istraživački centar, </w:t>
      </w:r>
      <w:r w:rsidRPr="00664B79">
        <w:rPr>
          <w:rFonts w:ascii="Calibri" w:hAnsi="Calibri" w:cs="Calibri"/>
          <w:sz w:val="16"/>
          <w:szCs w:val="16"/>
          <w:lang w:val="hr-HR"/>
        </w:rPr>
        <w:t xml:space="preserve">ISPRA – </w:t>
      </w:r>
      <w:r>
        <w:rPr>
          <w:rFonts w:ascii="Calibri" w:hAnsi="Calibri" w:cs="Calibri"/>
          <w:sz w:val="16"/>
          <w:szCs w:val="16"/>
          <w:lang w:val="hr-HR"/>
        </w:rPr>
        <w:t>svibanj</w:t>
      </w:r>
      <w:r w:rsidRPr="00664B79">
        <w:rPr>
          <w:rFonts w:ascii="Calibri" w:hAnsi="Calibri" w:cs="Calibri"/>
          <w:sz w:val="16"/>
          <w:szCs w:val="16"/>
          <w:lang w:val="hr-HR"/>
        </w:rPr>
        <w:t xml:space="preserve"> 2010. </w:t>
      </w:r>
      <w:hyperlink r:id="rId4" w:history="1">
        <w:r w:rsidRPr="00FF68C3">
          <w:rPr>
            <w:rStyle w:val="Hyperlink"/>
            <w:rFonts w:ascii="Calibri" w:hAnsi="Calibri" w:cs="Calibri"/>
            <w:sz w:val="16"/>
            <w:szCs w:val="16"/>
            <w:lang w:val="hr-HR"/>
          </w:rPr>
          <w:t>http://ec.europa.eu/energy/efficiency/doc/financing_energy_efficiency.pdf</w:t>
        </w:r>
      </w:hyperlink>
      <w:r>
        <w:rPr>
          <w:rFonts w:ascii="Calibri" w:hAnsi="Calibri" w:cs="Calibri"/>
          <w:sz w:val="16"/>
          <w:szCs w:val="16"/>
          <w:lang w:val="hr-HR"/>
        </w:rPr>
        <w:t xml:space="preserve"> </w:t>
      </w:r>
    </w:p>
  </w:footnote>
  <w:footnote w:id="12">
    <w:p w14:paraId="6A94565F" w14:textId="77777777" w:rsidR="001866CA" w:rsidRPr="00CF2B98" w:rsidRDefault="001866CA" w:rsidP="00236384">
      <w:pPr>
        <w:pStyle w:val="FootnoteText"/>
        <w:rPr>
          <w:lang w:val="hr-HR"/>
        </w:rPr>
      </w:pPr>
      <w:r>
        <w:rPr>
          <w:rStyle w:val="FootnoteReference"/>
          <w:rFonts w:ascii="Calibri" w:hAnsi="Calibri" w:cs="Calibri"/>
          <w:sz w:val="16"/>
          <w:szCs w:val="16"/>
          <w:lang w:val="hr-HR"/>
        </w:rPr>
        <w:footnoteRef/>
      </w:r>
      <w:r w:rsidRPr="00664B79">
        <w:rPr>
          <w:rFonts w:ascii="Calibri" w:hAnsi="Calibri" w:cs="Calibri"/>
          <w:sz w:val="16"/>
          <w:szCs w:val="16"/>
          <w:vertAlign w:val="subscript"/>
          <w:lang w:val="hr-HR"/>
        </w:rPr>
        <w:t xml:space="preserve"> </w:t>
      </w:r>
      <w:r w:rsidRPr="00664B79">
        <w:rPr>
          <w:rFonts w:ascii="Calibri" w:hAnsi="Calibri" w:cs="Calibri"/>
          <w:sz w:val="16"/>
          <w:szCs w:val="16"/>
          <w:lang w:val="hr-HR"/>
        </w:rPr>
        <w:t>Europ</w:t>
      </w:r>
      <w:r>
        <w:rPr>
          <w:rFonts w:ascii="Calibri" w:hAnsi="Calibri" w:cs="Calibri"/>
          <w:sz w:val="16"/>
          <w:szCs w:val="16"/>
          <w:lang w:val="hr-HR"/>
        </w:rPr>
        <w:t>ska</w:t>
      </w:r>
      <w:r w:rsidRPr="00664B79">
        <w:rPr>
          <w:rFonts w:ascii="Calibri" w:hAnsi="Calibri" w:cs="Calibri"/>
          <w:sz w:val="16"/>
          <w:szCs w:val="16"/>
          <w:lang w:val="hr-HR"/>
        </w:rPr>
        <w:t xml:space="preserve"> </w:t>
      </w:r>
      <w:r>
        <w:rPr>
          <w:rFonts w:ascii="Calibri" w:hAnsi="Calibri" w:cs="Calibri"/>
          <w:sz w:val="16"/>
          <w:szCs w:val="16"/>
          <w:lang w:val="hr-HR"/>
        </w:rPr>
        <w:t>kom</w:t>
      </w:r>
      <w:r w:rsidRPr="00664B79">
        <w:rPr>
          <w:rFonts w:ascii="Calibri" w:hAnsi="Calibri" w:cs="Calibri"/>
          <w:sz w:val="16"/>
          <w:szCs w:val="16"/>
          <w:lang w:val="hr-HR"/>
        </w:rPr>
        <w:t>is</w:t>
      </w:r>
      <w:r>
        <w:rPr>
          <w:rFonts w:ascii="Calibri" w:hAnsi="Calibri" w:cs="Calibri"/>
          <w:sz w:val="16"/>
          <w:szCs w:val="16"/>
          <w:lang w:val="hr-HR"/>
        </w:rPr>
        <w:t>ija</w:t>
      </w:r>
      <w:r w:rsidRPr="00664B79">
        <w:rPr>
          <w:rFonts w:ascii="Calibri" w:hAnsi="Calibri" w:cs="Calibri"/>
          <w:sz w:val="16"/>
          <w:szCs w:val="16"/>
          <w:lang w:val="hr-HR"/>
        </w:rPr>
        <w:t xml:space="preserve"> </w:t>
      </w:r>
      <w:r>
        <w:rPr>
          <w:rFonts w:ascii="Calibri" w:hAnsi="Calibri" w:cs="Calibri"/>
          <w:sz w:val="16"/>
          <w:szCs w:val="16"/>
          <w:lang w:val="hr-HR"/>
        </w:rPr>
        <w:t>–</w:t>
      </w:r>
      <w:r w:rsidRPr="00664B79">
        <w:rPr>
          <w:rFonts w:ascii="Calibri" w:hAnsi="Calibri" w:cs="Calibri"/>
          <w:sz w:val="16"/>
          <w:szCs w:val="16"/>
          <w:lang w:val="hr-HR"/>
        </w:rPr>
        <w:t xml:space="preserve"> </w:t>
      </w:r>
      <w:r>
        <w:rPr>
          <w:rFonts w:ascii="Calibri" w:hAnsi="Calibri" w:cs="Calibri"/>
          <w:sz w:val="16"/>
          <w:szCs w:val="16"/>
          <w:lang w:val="hr-HR"/>
        </w:rPr>
        <w:t xml:space="preserve">Sažetak podataka o napretku vezanom uz financiranje i </w:t>
      </w:r>
      <w:r w:rsidRPr="008113D8">
        <w:rPr>
          <w:rFonts w:ascii="Calibri" w:hAnsi="Calibri" w:cs="Calibri"/>
          <w:sz w:val="16"/>
          <w:szCs w:val="16"/>
          <w:lang w:val="hr-HR"/>
        </w:rPr>
        <w:t>korištenj</w:t>
      </w:r>
      <w:r>
        <w:rPr>
          <w:rFonts w:ascii="Calibri" w:hAnsi="Calibri" w:cs="Calibri"/>
          <w:sz w:val="16"/>
          <w:szCs w:val="16"/>
          <w:lang w:val="hr-HR"/>
        </w:rPr>
        <w:t>e</w:t>
      </w:r>
      <w:r w:rsidRPr="008113D8">
        <w:rPr>
          <w:rFonts w:ascii="Calibri" w:hAnsi="Calibri" w:cs="Calibri"/>
          <w:sz w:val="16"/>
          <w:szCs w:val="16"/>
          <w:lang w:val="hr-HR"/>
        </w:rPr>
        <w:t xml:space="preserve"> instrumenata fina</w:t>
      </w:r>
      <w:r>
        <w:rPr>
          <w:rFonts w:ascii="Calibri" w:hAnsi="Calibri" w:cs="Calibri"/>
          <w:sz w:val="16"/>
          <w:szCs w:val="16"/>
          <w:lang w:val="hr-HR"/>
        </w:rPr>
        <w:t>ncijskog inženjeringa u okviru S</w:t>
      </w:r>
      <w:r w:rsidRPr="008113D8">
        <w:rPr>
          <w:rFonts w:ascii="Calibri" w:hAnsi="Calibri" w:cs="Calibri"/>
          <w:sz w:val="16"/>
          <w:szCs w:val="16"/>
          <w:lang w:val="hr-HR"/>
        </w:rPr>
        <w:t>trukturnih fondova</w:t>
      </w:r>
      <w:r>
        <w:rPr>
          <w:rFonts w:ascii="Calibri" w:hAnsi="Calibri" w:cs="Calibri"/>
          <w:sz w:val="16"/>
          <w:szCs w:val="16"/>
          <w:lang w:val="hr-HR"/>
        </w:rPr>
        <w:t xml:space="preserve"> </w:t>
      </w:r>
      <w:r w:rsidRPr="00664B79">
        <w:rPr>
          <w:rFonts w:ascii="Calibri" w:hAnsi="Calibri" w:cs="Calibri"/>
          <w:sz w:val="16"/>
          <w:szCs w:val="16"/>
          <w:lang w:val="hr-HR"/>
        </w:rPr>
        <w:t xml:space="preserve">– </w:t>
      </w:r>
      <w:r>
        <w:rPr>
          <w:rFonts w:ascii="Calibri" w:hAnsi="Calibri" w:cs="Calibri"/>
          <w:sz w:val="16"/>
          <w:szCs w:val="16"/>
          <w:lang w:val="hr-HR"/>
        </w:rPr>
        <w:t>stanje na dan</w:t>
      </w:r>
      <w:r w:rsidRPr="00664B79">
        <w:rPr>
          <w:rFonts w:ascii="Calibri" w:hAnsi="Calibri" w:cs="Calibri"/>
          <w:sz w:val="16"/>
          <w:szCs w:val="16"/>
          <w:lang w:val="hr-HR"/>
        </w:rPr>
        <w:t xml:space="preserve"> 31.</w:t>
      </w:r>
      <w:r>
        <w:rPr>
          <w:rFonts w:ascii="Calibri" w:hAnsi="Calibri" w:cs="Calibri"/>
          <w:sz w:val="16"/>
          <w:szCs w:val="16"/>
          <w:lang w:val="hr-HR"/>
        </w:rPr>
        <w:t xml:space="preserve"> prosinca</w:t>
      </w:r>
      <w:r w:rsidRPr="00664B79">
        <w:rPr>
          <w:rFonts w:ascii="Calibri" w:hAnsi="Calibri" w:cs="Calibri"/>
          <w:sz w:val="16"/>
          <w:szCs w:val="16"/>
          <w:lang w:val="hr-HR"/>
        </w:rPr>
        <w:t xml:space="preserve"> 2012</w:t>
      </w:r>
      <w:r>
        <w:rPr>
          <w:rFonts w:ascii="Calibri" w:hAnsi="Calibri" w:cs="Calibri"/>
          <w:sz w:val="16"/>
          <w:szCs w:val="16"/>
          <w:lang w:val="hr-HR"/>
        </w:rPr>
        <w:t>.</w:t>
      </w:r>
      <w:r w:rsidRPr="00664B79">
        <w:rPr>
          <w:rFonts w:ascii="Calibri" w:hAnsi="Calibri" w:cs="Calibri"/>
          <w:sz w:val="16"/>
          <w:szCs w:val="16"/>
          <w:lang w:val="hr-HR"/>
        </w:rPr>
        <w:t xml:space="preserve"> </w:t>
      </w:r>
    </w:p>
  </w:footnote>
  <w:footnote w:id="13">
    <w:p w14:paraId="57C27252" w14:textId="77777777" w:rsidR="001866CA" w:rsidRPr="00CF2B98" w:rsidRDefault="001866CA" w:rsidP="00236384">
      <w:pPr>
        <w:rPr>
          <w:lang w:val="hr-HR"/>
        </w:rPr>
      </w:pPr>
      <w:r w:rsidRPr="003479D3">
        <w:rPr>
          <w:rStyle w:val="FootnoteReference"/>
          <w:rFonts w:ascii="Calibri" w:hAnsi="Calibri" w:cs="Calibri"/>
          <w:sz w:val="16"/>
          <w:szCs w:val="16"/>
        </w:rPr>
        <w:footnoteRef/>
      </w:r>
      <w:r w:rsidRPr="00F030D3">
        <w:rPr>
          <w:rFonts w:ascii="Calibri" w:hAnsi="Calibri" w:cs="Calibri"/>
          <w:sz w:val="16"/>
          <w:szCs w:val="16"/>
          <w:lang w:val="hr-HR"/>
        </w:rPr>
        <w:t xml:space="preserve"> </w:t>
      </w:r>
      <w:r w:rsidRPr="00D77BA8">
        <w:rPr>
          <w:rFonts w:ascii="Calibri" w:hAnsi="Calibri" w:cs="Calibri"/>
          <w:sz w:val="16"/>
          <w:szCs w:val="16"/>
          <w:lang w:val="hr-HR"/>
        </w:rPr>
        <w:t>Smjernice o energetskoj učinkovitosti zgrada u javnom sektoru –</w:t>
      </w:r>
      <w:r>
        <w:rPr>
          <w:rFonts w:ascii="Calibri" w:hAnsi="Calibri" w:cs="Calibri"/>
          <w:sz w:val="16"/>
          <w:szCs w:val="16"/>
          <w:lang w:val="hr-HR"/>
        </w:rPr>
        <w:t xml:space="preserve"> </w:t>
      </w:r>
      <w:r w:rsidRPr="00D77BA8">
        <w:rPr>
          <w:rFonts w:ascii="Calibri" w:hAnsi="Calibri" w:cs="Calibri"/>
          <w:sz w:val="16"/>
          <w:szCs w:val="16"/>
          <w:lang w:val="hr-HR"/>
        </w:rPr>
        <w:t>Europski centar znanja za javno-privatno partnerstvo</w:t>
      </w:r>
      <w:r>
        <w:rPr>
          <w:rFonts w:ascii="Calibri" w:hAnsi="Calibri" w:cs="Calibri"/>
          <w:sz w:val="16"/>
          <w:szCs w:val="16"/>
          <w:lang w:val="hr-HR"/>
        </w:rPr>
        <w:t>,</w:t>
      </w:r>
      <w:r w:rsidRPr="00D77BA8">
        <w:rPr>
          <w:rFonts w:ascii="Calibri" w:hAnsi="Calibri" w:cs="Calibri"/>
          <w:sz w:val="16"/>
          <w:szCs w:val="16"/>
          <w:lang w:val="hr-HR"/>
        </w:rPr>
        <w:t xml:space="preserve"> 2012. </w:t>
      </w:r>
      <w:hyperlink r:id="rId5" w:history="1">
        <w:r w:rsidRPr="00FF68C3">
          <w:rPr>
            <w:rStyle w:val="Hyperlink"/>
            <w:rFonts w:ascii="Calibri" w:hAnsi="Calibri" w:cs="Calibri"/>
            <w:sz w:val="16"/>
            <w:szCs w:val="16"/>
            <w:lang w:val="hr-HR"/>
          </w:rPr>
          <w:t>http://www.eib.org/epec/resources/epec_guidance_ee_public_buildings_en.pdf</w:t>
        </w:r>
      </w:hyperlink>
      <w:r>
        <w:rPr>
          <w:rFonts w:ascii="Calibri" w:hAnsi="Calibri" w:cs="Calibri"/>
          <w:sz w:val="16"/>
          <w:szCs w:val="16"/>
          <w:lang w:val="hr-HR"/>
        </w:rPr>
        <w:t xml:space="preserve"> </w:t>
      </w:r>
    </w:p>
  </w:footnote>
  <w:footnote w:id="14">
    <w:p w14:paraId="59A89EA3" w14:textId="77777777" w:rsidR="001866CA" w:rsidRDefault="001866CA" w:rsidP="00236384">
      <w:pPr>
        <w:pStyle w:val="FootnoteText"/>
      </w:pPr>
      <w:r w:rsidRPr="00D77BA8">
        <w:rPr>
          <w:rStyle w:val="FootnoteReference"/>
          <w:lang w:val="hr-HR"/>
        </w:rPr>
        <w:footnoteRef/>
      </w:r>
      <w:r w:rsidRPr="00D77BA8">
        <w:rPr>
          <w:lang w:val="hr-HR"/>
        </w:rPr>
        <w:t xml:space="preserve"> </w:t>
      </w:r>
      <w:r w:rsidRPr="00F030D3">
        <w:rPr>
          <w:rFonts w:ascii="Calibri" w:hAnsi="Calibri" w:cs="Calibri"/>
          <w:sz w:val="16"/>
          <w:szCs w:val="16"/>
          <w:lang w:val="hr-HR"/>
        </w:rPr>
        <w:t>European Local Energy Assistance- financijski instrument u smislu darovnica ili grantova lokalnim i regionalnim javnim vlastima za razvoj, strukturiranje i pokretanje investicija u energetsku učinkovitost i obnovljive izvore energije</w:t>
      </w:r>
      <w:r w:rsidRPr="00F030D3">
        <w:rPr>
          <w:lang w:val="hr-HR"/>
        </w:rPr>
        <w:t>.</w:t>
      </w:r>
      <w:r w:rsidRPr="00D77BA8">
        <w:rPr>
          <w:rFonts w:ascii="Calibri" w:hAnsi="Calibri" w:cs="Calibri"/>
          <w:sz w:val="16"/>
          <w:szCs w:val="16"/>
          <w:lang w:val="hr-HR"/>
        </w:rPr>
        <w:t xml:space="preserve"> </w:t>
      </w:r>
      <w:hyperlink r:id="rId6" w:history="1">
        <w:r w:rsidRPr="00FF68C3">
          <w:rPr>
            <w:rStyle w:val="Hyperlink"/>
            <w:rFonts w:ascii="Calibri" w:hAnsi="Calibri" w:cs="Calibri"/>
            <w:sz w:val="16"/>
            <w:szCs w:val="16"/>
            <w:lang w:val="hr-HR"/>
          </w:rPr>
          <w:t>http://www.eib.org/products/elena/index.htm</w:t>
        </w:r>
      </w:hyperlink>
      <w:r>
        <w:rPr>
          <w:rFonts w:ascii="Calibri" w:hAnsi="Calibri" w:cs="Calibri"/>
          <w:sz w:val="16"/>
          <w:szCs w:val="16"/>
          <w:lang w:val="hr-HR"/>
        </w:rPr>
        <w:t xml:space="preserve"> </w:t>
      </w:r>
    </w:p>
  </w:footnote>
  <w:footnote w:id="15">
    <w:p w14:paraId="34DAADCE" w14:textId="77777777" w:rsidR="001866CA" w:rsidRPr="00D77BA8" w:rsidRDefault="001866CA" w:rsidP="00236384">
      <w:pPr>
        <w:pStyle w:val="FootnoteText"/>
        <w:rPr>
          <w:lang w:val="hr-HR"/>
        </w:rPr>
      </w:pPr>
      <w:r w:rsidRPr="00D77BA8">
        <w:rPr>
          <w:rStyle w:val="FootnoteReference"/>
          <w:rFonts w:ascii="Calibri" w:hAnsi="Calibri" w:cs="Calibri"/>
          <w:sz w:val="16"/>
          <w:szCs w:val="16"/>
          <w:lang w:val="hr-HR"/>
        </w:rPr>
        <w:footnoteRef/>
      </w:r>
      <w:r w:rsidRPr="00D77BA8">
        <w:rPr>
          <w:rFonts w:ascii="Calibri" w:hAnsi="Calibri" w:cs="Calibri"/>
          <w:sz w:val="16"/>
          <w:szCs w:val="16"/>
          <w:lang w:val="hr-HR"/>
        </w:rPr>
        <w:t xml:space="preserve"> ManagEnergy, listopad 2013.</w:t>
      </w:r>
    </w:p>
    <w:p w14:paraId="444A8277" w14:textId="77777777" w:rsidR="001866CA" w:rsidRDefault="001866CA" w:rsidP="00236384">
      <w:pPr>
        <w:pStyle w:val="FootnoteText"/>
      </w:pPr>
    </w:p>
  </w:footnote>
  <w:footnote w:id="16">
    <w:p w14:paraId="797BE5C5" w14:textId="77777777" w:rsidR="001866CA" w:rsidRPr="00CF2B98" w:rsidRDefault="001866CA" w:rsidP="00236384">
      <w:pPr>
        <w:pStyle w:val="FootnoteText"/>
        <w:rPr>
          <w:lang w:val="hr-HR"/>
        </w:rPr>
      </w:pPr>
      <w:r w:rsidRPr="007E3AD3">
        <w:rPr>
          <w:rStyle w:val="FootnoteReference"/>
          <w:rFonts w:ascii="Calibri" w:hAnsi="Calibri" w:cs="Calibri"/>
          <w:sz w:val="16"/>
          <w:szCs w:val="16"/>
        </w:rPr>
        <w:footnoteRef/>
      </w:r>
      <w:r w:rsidRPr="00F030D3">
        <w:rPr>
          <w:rFonts w:ascii="Calibri" w:hAnsi="Calibri" w:cs="Calibri"/>
          <w:sz w:val="16"/>
          <w:szCs w:val="16"/>
          <w:lang w:val="hr-HR"/>
        </w:rPr>
        <w:t xml:space="preserve"> </w:t>
      </w:r>
      <w:r w:rsidRPr="000361E7">
        <w:rPr>
          <w:rFonts w:ascii="Calibri" w:hAnsi="Calibri" w:cs="Calibri"/>
          <w:sz w:val="16"/>
          <w:szCs w:val="16"/>
          <w:lang w:val="hr-HR"/>
        </w:rPr>
        <w:t xml:space="preserve">Istraživački centar za europske politike (EPRC) i Fraser Associates za DG Regio 2012.: Ex-post </w:t>
      </w:r>
      <w:r>
        <w:rPr>
          <w:rFonts w:ascii="Calibri" w:hAnsi="Calibri" w:cs="Calibri"/>
          <w:sz w:val="16"/>
          <w:szCs w:val="16"/>
          <w:lang w:val="hr-HR"/>
        </w:rPr>
        <w:t>procjen</w:t>
      </w:r>
      <w:r w:rsidRPr="000361E7">
        <w:rPr>
          <w:rFonts w:ascii="Calibri" w:hAnsi="Calibri" w:cs="Calibri"/>
          <w:sz w:val="16"/>
          <w:szCs w:val="16"/>
          <w:lang w:val="hr-HR"/>
        </w:rPr>
        <w:t>a Instrumenta za strukturne politike u pretpristupnom razdoblju (ISPA) i Kohezijskog fonda za razdoblje 2000. – 2006. Radni paket D</w:t>
      </w:r>
      <w:r w:rsidRPr="00F030D3">
        <w:rPr>
          <w:rFonts w:ascii="Calibri" w:hAnsi="Calibri" w:cs="Calibri"/>
          <w:sz w:val="16"/>
          <w:szCs w:val="16"/>
          <w:lang w:val="hr-HR"/>
        </w:rPr>
        <w:t xml:space="preserve">. </w:t>
      </w:r>
      <w:hyperlink r:id="rId7" w:history="1">
        <w:r w:rsidRPr="00F030D3">
          <w:rPr>
            <w:rStyle w:val="Hyperlink"/>
            <w:rFonts w:ascii="Calibri" w:hAnsi="Calibri" w:cs="Calibri"/>
            <w:sz w:val="16"/>
            <w:szCs w:val="16"/>
            <w:lang w:val="hr-HR"/>
          </w:rPr>
          <w:t>http://bookshop.europa.eu/en/ex-post-evaluation-of-the-cohesion-fund-including-former-ispa--pbKN3113917/downloads/KN-31-13-917-EN-N/KN3113917ENN_002.pdf;pgid=y8dIS7GUWMdSR0EAlMEUUsWb0000UZQdZKTr;sid=ZBSScGdDIbGSfTTRjo4M1wVmY8eUo2CQYsc=?FileName=KN3113917ENN_002.pdf&amp;SKU=KN3113917ENN_PDF&amp;CatalogueNumber=KN-31-13-917-EN-N</w:t>
        </w:r>
      </w:hyperlink>
      <w:r w:rsidRPr="00F030D3">
        <w:rPr>
          <w:rFonts w:ascii="Calibri" w:hAnsi="Calibri" w:cs="Calibri"/>
          <w:sz w:val="16"/>
          <w:szCs w:val="16"/>
          <w:lang w:val="hr-H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138"/>
    <w:multiLevelType w:val="hybridMultilevel"/>
    <w:tmpl w:val="552E597C"/>
    <w:lvl w:ilvl="0" w:tplc="08090003">
      <w:start w:val="1"/>
      <w:numFmt w:val="bullet"/>
      <w:lvlText w:val="o"/>
      <w:lvlJc w:val="left"/>
      <w:pPr>
        <w:ind w:left="1431" w:hanging="360"/>
      </w:pPr>
      <w:rPr>
        <w:rFonts w:ascii="Courier New" w:hAnsi="Courier New" w:cs="Courier New" w:hint="default"/>
      </w:rPr>
    </w:lvl>
    <w:lvl w:ilvl="1" w:tplc="08090003">
      <w:start w:val="1"/>
      <w:numFmt w:val="bullet"/>
      <w:lvlText w:val="o"/>
      <w:lvlJc w:val="left"/>
      <w:pPr>
        <w:ind w:left="2151" w:hanging="360"/>
      </w:pPr>
      <w:rPr>
        <w:rFonts w:ascii="Courier New" w:hAnsi="Courier New" w:cs="Courier New" w:hint="default"/>
      </w:rPr>
    </w:lvl>
    <w:lvl w:ilvl="2" w:tplc="08090005">
      <w:start w:val="1"/>
      <w:numFmt w:val="bullet"/>
      <w:lvlText w:val=""/>
      <w:lvlJc w:val="left"/>
      <w:pPr>
        <w:ind w:left="2871" w:hanging="360"/>
      </w:pPr>
      <w:rPr>
        <w:rFonts w:ascii="Wingdings" w:hAnsi="Wingdings" w:cs="Wingdings" w:hint="default"/>
      </w:rPr>
    </w:lvl>
    <w:lvl w:ilvl="3" w:tplc="08090001">
      <w:start w:val="1"/>
      <w:numFmt w:val="bullet"/>
      <w:lvlText w:val=""/>
      <w:lvlJc w:val="left"/>
      <w:pPr>
        <w:ind w:left="3591" w:hanging="360"/>
      </w:pPr>
      <w:rPr>
        <w:rFonts w:ascii="Symbol" w:hAnsi="Symbol" w:cs="Symbol" w:hint="default"/>
      </w:rPr>
    </w:lvl>
    <w:lvl w:ilvl="4" w:tplc="08090003">
      <w:start w:val="1"/>
      <w:numFmt w:val="bullet"/>
      <w:lvlText w:val="o"/>
      <w:lvlJc w:val="left"/>
      <w:pPr>
        <w:ind w:left="4311" w:hanging="360"/>
      </w:pPr>
      <w:rPr>
        <w:rFonts w:ascii="Courier New" w:hAnsi="Courier New" w:cs="Courier New" w:hint="default"/>
      </w:rPr>
    </w:lvl>
    <w:lvl w:ilvl="5" w:tplc="08090005">
      <w:start w:val="1"/>
      <w:numFmt w:val="bullet"/>
      <w:lvlText w:val=""/>
      <w:lvlJc w:val="left"/>
      <w:pPr>
        <w:ind w:left="5031" w:hanging="360"/>
      </w:pPr>
      <w:rPr>
        <w:rFonts w:ascii="Wingdings" w:hAnsi="Wingdings" w:cs="Wingdings" w:hint="default"/>
      </w:rPr>
    </w:lvl>
    <w:lvl w:ilvl="6" w:tplc="08090001">
      <w:start w:val="1"/>
      <w:numFmt w:val="bullet"/>
      <w:lvlText w:val=""/>
      <w:lvlJc w:val="left"/>
      <w:pPr>
        <w:ind w:left="5751" w:hanging="360"/>
      </w:pPr>
      <w:rPr>
        <w:rFonts w:ascii="Symbol" w:hAnsi="Symbol" w:cs="Symbol" w:hint="default"/>
      </w:rPr>
    </w:lvl>
    <w:lvl w:ilvl="7" w:tplc="08090003">
      <w:start w:val="1"/>
      <w:numFmt w:val="bullet"/>
      <w:lvlText w:val="o"/>
      <w:lvlJc w:val="left"/>
      <w:pPr>
        <w:ind w:left="6471" w:hanging="360"/>
      </w:pPr>
      <w:rPr>
        <w:rFonts w:ascii="Courier New" w:hAnsi="Courier New" w:cs="Courier New" w:hint="default"/>
      </w:rPr>
    </w:lvl>
    <w:lvl w:ilvl="8" w:tplc="08090005">
      <w:start w:val="1"/>
      <w:numFmt w:val="bullet"/>
      <w:lvlText w:val=""/>
      <w:lvlJc w:val="left"/>
      <w:pPr>
        <w:ind w:left="7191" w:hanging="360"/>
      </w:pPr>
      <w:rPr>
        <w:rFonts w:ascii="Wingdings" w:hAnsi="Wingdings" w:cs="Wingdings" w:hint="default"/>
      </w:rPr>
    </w:lvl>
  </w:abstractNum>
  <w:abstractNum w:abstractNumId="1">
    <w:nsid w:val="09750F1E"/>
    <w:multiLevelType w:val="hybridMultilevel"/>
    <w:tmpl w:val="544E9C28"/>
    <w:lvl w:ilvl="0" w:tplc="50205E1A">
      <w:start w:val="1"/>
      <w:numFmt w:val="bullet"/>
      <w:lvlText w:val="–"/>
      <w:lvlJc w:val="left"/>
      <w:pPr>
        <w:tabs>
          <w:tab w:val="num" w:pos="720"/>
        </w:tabs>
        <w:ind w:left="720" w:hanging="360"/>
      </w:pPr>
      <w:rPr>
        <w:rFonts w:ascii="Arial" w:hAnsi="Arial" w:cs="Arial" w:hint="default"/>
      </w:rPr>
    </w:lvl>
    <w:lvl w:ilvl="1" w:tplc="654232F8">
      <w:start w:val="1"/>
      <w:numFmt w:val="bullet"/>
      <w:lvlText w:val="–"/>
      <w:lvlJc w:val="left"/>
      <w:pPr>
        <w:tabs>
          <w:tab w:val="num" w:pos="1440"/>
        </w:tabs>
        <w:ind w:left="1440" w:hanging="360"/>
      </w:pPr>
      <w:rPr>
        <w:rFonts w:ascii="Arial" w:hAnsi="Arial" w:cs="Arial" w:hint="default"/>
      </w:rPr>
    </w:lvl>
    <w:lvl w:ilvl="2" w:tplc="C3D0B7B2">
      <w:start w:val="1"/>
      <w:numFmt w:val="bullet"/>
      <w:lvlText w:val="–"/>
      <w:lvlJc w:val="left"/>
      <w:pPr>
        <w:tabs>
          <w:tab w:val="num" w:pos="2160"/>
        </w:tabs>
        <w:ind w:left="2160" w:hanging="360"/>
      </w:pPr>
      <w:rPr>
        <w:rFonts w:ascii="Arial" w:hAnsi="Arial" w:cs="Arial" w:hint="default"/>
      </w:rPr>
    </w:lvl>
    <w:lvl w:ilvl="3" w:tplc="C0B44236">
      <w:start w:val="1"/>
      <w:numFmt w:val="bullet"/>
      <w:lvlText w:val="–"/>
      <w:lvlJc w:val="left"/>
      <w:pPr>
        <w:tabs>
          <w:tab w:val="num" w:pos="2880"/>
        </w:tabs>
        <w:ind w:left="2880" w:hanging="360"/>
      </w:pPr>
      <w:rPr>
        <w:rFonts w:ascii="Arial" w:hAnsi="Arial" w:cs="Arial" w:hint="default"/>
      </w:rPr>
    </w:lvl>
    <w:lvl w:ilvl="4" w:tplc="A768B02C">
      <w:start w:val="1"/>
      <w:numFmt w:val="bullet"/>
      <w:lvlText w:val="–"/>
      <w:lvlJc w:val="left"/>
      <w:pPr>
        <w:tabs>
          <w:tab w:val="num" w:pos="3600"/>
        </w:tabs>
        <w:ind w:left="3600" w:hanging="360"/>
      </w:pPr>
      <w:rPr>
        <w:rFonts w:ascii="Arial" w:hAnsi="Arial" w:cs="Arial" w:hint="default"/>
      </w:rPr>
    </w:lvl>
    <w:lvl w:ilvl="5" w:tplc="378EC7D4">
      <w:start w:val="1"/>
      <w:numFmt w:val="bullet"/>
      <w:lvlText w:val="–"/>
      <w:lvlJc w:val="left"/>
      <w:pPr>
        <w:tabs>
          <w:tab w:val="num" w:pos="4320"/>
        </w:tabs>
        <w:ind w:left="4320" w:hanging="360"/>
      </w:pPr>
      <w:rPr>
        <w:rFonts w:ascii="Arial" w:hAnsi="Arial" w:cs="Arial" w:hint="default"/>
      </w:rPr>
    </w:lvl>
    <w:lvl w:ilvl="6" w:tplc="973A1514">
      <w:start w:val="1"/>
      <w:numFmt w:val="bullet"/>
      <w:lvlText w:val="–"/>
      <w:lvlJc w:val="left"/>
      <w:pPr>
        <w:tabs>
          <w:tab w:val="num" w:pos="5040"/>
        </w:tabs>
        <w:ind w:left="5040" w:hanging="360"/>
      </w:pPr>
      <w:rPr>
        <w:rFonts w:ascii="Arial" w:hAnsi="Arial" w:cs="Arial" w:hint="default"/>
      </w:rPr>
    </w:lvl>
    <w:lvl w:ilvl="7" w:tplc="E6D057A8">
      <w:start w:val="1"/>
      <w:numFmt w:val="bullet"/>
      <w:lvlText w:val="–"/>
      <w:lvlJc w:val="left"/>
      <w:pPr>
        <w:tabs>
          <w:tab w:val="num" w:pos="5760"/>
        </w:tabs>
        <w:ind w:left="5760" w:hanging="360"/>
      </w:pPr>
      <w:rPr>
        <w:rFonts w:ascii="Arial" w:hAnsi="Arial" w:cs="Arial" w:hint="default"/>
      </w:rPr>
    </w:lvl>
    <w:lvl w:ilvl="8" w:tplc="28943D2E">
      <w:start w:val="1"/>
      <w:numFmt w:val="bullet"/>
      <w:lvlText w:val="–"/>
      <w:lvlJc w:val="left"/>
      <w:pPr>
        <w:tabs>
          <w:tab w:val="num" w:pos="6480"/>
        </w:tabs>
        <w:ind w:left="6480" w:hanging="360"/>
      </w:pPr>
      <w:rPr>
        <w:rFonts w:ascii="Arial" w:hAnsi="Arial" w:cs="Arial" w:hint="default"/>
      </w:rPr>
    </w:lvl>
  </w:abstractNum>
  <w:abstractNum w:abstractNumId="2">
    <w:nsid w:val="0C9F7281"/>
    <w:multiLevelType w:val="hybridMultilevel"/>
    <w:tmpl w:val="2214AF88"/>
    <w:lvl w:ilvl="0" w:tplc="6F1033CC">
      <w:start w:val="1"/>
      <w:numFmt w:val="bullet"/>
      <w:lvlText w:val="•"/>
      <w:lvlJc w:val="left"/>
      <w:pPr>
        <w:tabs>
          <w:tab w:val="num" w:pos="720"/>
        </w:tabs>
        <w:ind w:left="720" w:hanging="360"/>
      </w:pPr>
      <w:rPr>
        <w:rFonts w:ascii="Arial" w:hAnsi="Arial" w:cs="Arial" w:hint="default"/>
      </w:rPr>
    </w:lvl>
    <w:lvl w:ilvl="1" w:tplc="8ED60A68">
      <w:start w:val="1"/>
      <w:numFmt w:val="bullet"/>
      <w:lvlText w:val="•"/>
      <w:lvlJc w:val="left"/>
      <w:pPr>
        <w:tabs>
          <w:tab w:val="num" w:pos="1440"/>
        </w:tabs>
        <w:ind w:left="1440" w:hanging="360"/>
      </w:pPr>
      <w:rPr>
        <w:rFonts w:ascii="Arial" w:hAnsi="Arial" w:cs="Arial" w:hint="default"/>
      </w:rPr>
    </w:lvl>
    <w:lvl w:ilvl="2" w:tplc="7F7C58C0">
      <w:start w:val="1"/>
      <w:numFmt w:val="bullet"/>
      <w:lvlText w:val="•"/>
      <w:lvlJc w:val="left"/>
      <w:pPr>
        <w:tabs>
          <w:tab w:val="num" w:pos="2160"/>
        </w:tabs>
        <w:ind w:left="2160" w:hanging="360"/>
      </w:pPr>
      <w:rPr>
        <w:rFonts w:ascii="Arial" w:hAnsi="Arial" w:cs="Arial" w:hint="default"/>
      </w:rPr>
    </w:lvl>
    <w:lvl w:ilvl="3" w:tplc="1440455C">
      <w:start w:val="1"/>
      <w:numFmt w:val="bullet"/>
      <w:lvlText w:val="•"/>
      <w:lvlJc w:val="left"/>
      <w:pPr>
        <w:tabs>
          <w:tab w:val="num" w:pos="2880"/>
        </w:tabs>
        <w:ind w:left="2880" w:hanging="360"/>
      </w:pPr>
      <w:rPr>
        <w:rFonts w:ascii="Arial" w:hAnsi="Arial" w:cs="Arial" w:hint="default"/>
      </w:rPr>
    </w:lvl>
    <w:lvl w:ilvl="4" w:tplc="2C8C68EC">
      <w:start w:val="1"/>
      <w:numFmt w:val="bullet"/>
      <w:lvlText w:val="•"/>
      <w:lvlJc w:val="left"/>
      <w:pPr>
        <w:tabs>
          <w:tab w:val="num" w:pos="3600"/>
        </w:tabs>
        <w:ind w:left="3600" w:hanging="360"/>
      </w:pPr>
      <w:rPr>
        <w:rFonts w:ascii="Arial" w:hAnsi="Arial" w:cs="Arial" w:hint="default"/>
      </w:rPr>
    </w:lvl>
    <w:lvl w:ilvl="5" w:tplc="81B6B8DC">
      <w:start w:val="1"/>
      <w:numFmt w:val="bullet"/>
      <w:lvlText w:val="•"/>
      <w:lvlJc w:val="left"/>
      <w:pPr>
        <w:tabs>
          <w:tab w:val="num" w:pos="4320"/>
        </w:tabs>
        <w:ind w:left="4320" w:hanging="360"/>
      </w:pPr>
      <w:rPr>
        <w:rFonts w:ascii="Arial" w:hAnsi="Arial" w:cs="Arial" w:hint="default"/>
      </w:rPr>
    </w:lvl>
    <w:lvl w:ilvl="6" w:tplc="4FC0DA8C">
      <w:start w:val="1"/>
      <w:numFmt w:val="bullet"/>
      <w:lvlText w:val="•"/>
      <w:lvlJc w:val="left"/>
      <w:pPr>
        <w:tabs>
          <w:tab w:val="num" w:pos="5040"/>
        </w:tabs>
        <w:ind w:left="5040" w:hanging="360"/>
      </w:pPr>
      <w:rPr>
        <w:rFonts w:ascii="Arial" w:hAnsi="Arial" w:cs="Arial" w:hint="default"/>
      </w:rPr>
    </w:lvl>
    <w:lvl w:ilvl="7" w:tplc="C5B2B8CC">
      <w:start w:val="1"/>
      <w:numFmt w:val="bullet"/>
      <w:lvlText w:val="•"/>
      <w:lvlJc w:val="left"/>
      <w:pPr>
        <w:tabs>
          <w:tab w:val="num" w:pos="5760"/>
        </w:tabs>
        <w:ind w:left="5760" w:hanging="360"/>
      </w:pPr>
      <w:rPr>
        <w:rFonts w:ascii="Arial" w:hAnsi="Arial" w:cs="Arial" w:hint="default"/>
      </w:rPr>
    </w:lvl>
    <w:lvl w:ilvl="8" w:tplc="17A200C0">
      <w:start w:val="1"/>
      <w:numFmt w:val="bullet"/>
      <w:lvlText w:val="•"/>
      <w:lvlJc w:val="left"/>
      <w:pPr>
        <w:tabs>
          <w:tab w:val="num" w:pos="6480"/>
        </w:tabs>
        <w:ind w:left="6480" w:hanging="360"/>
      </w:pPr>
      <w:rPr>
        <w:rFonts w:ascii="Arial" w:hAnsi="Arial" w:cs="Arial" w:hint="default"/>
      </w:rPr>
    </w:lvl>
  </w:abstractNum>
  <w:abstractNum w:abstractNumId="3">
    <w:nsid w:val="17D1642F"/>
    <w:multiLevelType w:val="hybridMultilevel"/>
    <w:tmpl w:val="62002E98"/>
    <w:lvl w:ilvl="0" w:tplc="08090001">
      <w:start w:val="1"/>
      <w:numFmt w:val="bullet"/>
      <w:lvlText w:val=""/>
      <w:lvlJc w:val="left"/>
      <w:pPr>
        <w:ind w:left="726" w:hanging="360"/>
      </w:pPr>
      <w:rPr>
        <w:rFonts w:ascii="Symbol" w:hAnsi="Symbol" w:cs="Symbol" w:hint="default"/>
      </w:rPr>
    </w:lvl>
    <w:lvl w:ilvl="1" w:tplc="08090003">
      <w:start w:val="1"/>
      <w:numFmt w:val="bullet"/>
      <w:lvlText w:val="o"/>
      <w:lvlJc w:val="left"/>
      <w:pPr>
        <w:ind w:left="1446" w:hanging="360"/>
      </w:pPr>
      <w:rPr>
        <w:rFonts w:ascii="Courier New" w:hAnsi="Courier New" w:cs="Courier New" w:hint="default"/>
      </w:rPr>
    </w:lvl>
    <w:lvl w:ilvl="2" w:tplc="08090005">
      <w:start w:val="1"/>
      <w:numFmt w:val="bullet"/>
      <w:lvlText w:val=""/>
      <w:lvlJc w:val="left"/>
      <w:pPr>
        <w:ind w:left="2166" w:hanging="360"/>
      </w:pPr>
      <w:rPr>
        <w:rFonts w:ascii="Wingdings" w:hAnsi="Wingdings" w:cs="Wingdings" w:hint="default"/>
      </w:rPr>
    </w:lvl>
    <w:lvl w:ilvl="3" w:tplc="08090001">
      <w:start w:val="1"/>
      <w:numFmt w:val="bullet"/>
      <w:lvlText w:val=""/>
      <w:lvlJc w:val="left"/>
      <w:pPr>
        <w:ind w:left="2886" w:hanging="360"/>
      </w:pPr>
      <w:rPr>
        <w:rFonts w:ascii="Symbol" w:hAnsi="Symbol" w:cs="Symbol" w:hint="default"/>
      </w:rPr>
    </w:lvl>
    <w:lvl w:ilvl="4" w:tplc="08090003">
      <w:start w:val="1"/>
      <w:numFmt w:val="bullet"/>
      <w:lvlText w:val="o"/>
      <w:lvlJc w:val="left"/>
      <w:pPr>
        <w:ind w:left="3606" w:hanging="360"/>
      </w:pPr>
      <w:rPr>
        <w:rFonts w:ascii="Courier New" w:hAnsi="Courier New" w:cs="Courier New" w:hint="default"/>
      </w:rPr>
    </w:lvl>
    <w:lvl w:ilvl="5" w:tplc="08090005">
      <w:start w:val="1"/>
      <w:numFmt w:val="bullet"/>
      <w:lvlText w:val=""/>
      <w:lvlJc w:val="left"/>
      <w:pPr>
        <w:ind w:left="4326" w:hanging="360"/>
      </w:pPr>
      <w:rPr>
        <w:rFonts w:ascii="Wingdings" w:hAnsi="Wingdings" w:cs="Wingdings" w:hint="default"/>
      </w:rPr>
    </w:lvl>
    <w:lvl w:ilvl="6" w:tplc="08090001">
      <w:start w:val="1"/>
      <w:numFmt w:val="bullet"/>
      <w:lvlText w:val=""/>
      <w:lvlJc w:val="left"/>
      <w:pPr>
        <w:ind w:left="5046" w:hanging="360"/>
      </w:pPr>
      <w:rPr>
        <w:rFonts w:ascii="Symbol" w:hAnsi="Symbol" w:cs="Symbol" w:hint="default"/>
      </w:rPr>
    </w:lvl>
    <w:lvl w:ilvl="7" w:tplc="08090003">
      <w:start w:val="1"/>
      <w:numFmt w:val="bullet"/>
      <w:lvlText w:val="o"/>
      <w:lvlJc w:val="left"/>
      <w:pPr>
        <w:ind w:left="5766" w:hanging="360"/>
      </w:pPr>
      <w:rPr>
        <w:rFonts w:ascii="Courier New" w:hAnsi="Courier New" w:cs="Courier New" w:hint="default"/>
      </w:rPr>
    </w:lvl>
    <w:lvl w:ilvl="8" w:tplc="08090005">
      <w:start w:val="1"/>
      <w:numFmt w:val="bullet"/>
      <w:lvlText w:val=""/>
      <w:lvlJc w:val="left"/>
      <w:pPr>
        <w:ind w:left="6486" w:hanging="360"/>
      </w:pPr>
      <w:rPr>
        <w:rFonts w:ascii="Wingdings" w:hAnsi="Wingdings" w:cs="Wingdings" w:hint="default"/>
      </w:rPr>
    </w:lvl>
  </w:abstractNum>
  <w:abstractNum w:abstractNumId="4">
    <w:nsid w:val="1C866C61"/>
    <w:multiLevelType w:val="hybridMultilevel"/>
    <w:tmpl w:val="1F4C062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217543FB"/>
    <w:multiLevelType w:val="hybridMultilevel"/>
    <w:tmpl w:val="7520CE6E"/>
    <w:lvl w:ilvl="0" w:tplc="08286668">
      <w:start w:val="1"/>
      <w:numFmt w:val="bullet"/>
      <w:lvlText w:val="•"/>
      <w:lvlJc w:val="left"/>
      <w:pPr>
        <w:tabs>
          <w:tab w:val="num" w:pos="360"/>
        </w:tabs>
        <w:ind w:left="360" w:hanging="360"/>
      </w:pPr>
      <w:rPr>
        <w:rFonts w:ascii="Arial" w:hAnsi="Arial" w:cs="Arial" w:hint="default"/>
      </w:rPr>
    </w:lvl>
    <w:lvl w:ilvl="1" w:tplc="1608920A">
      <w:start w:val="1"/>
      <w:numFmt w:val="bullet"/>
      <w:lvlText w:val="•"/>
      <w:lvlJc w:val="left"/>
      <w:pPr>
        <w:tabs>
          <w:tab w:val="num" w:pos="1080"/>
        </w:tabs>
        <w:ind w:left="1080" w:hanging="360"/>
      </w:pPr>
      <w:rPr>
        <w:rFonts w:ascii="Arial" w:hAnsi="Arial" w:cs="Arial" w:hint="default"/>
      </w:rPr>
    </w:lvl>
    <w:lvl w:ilvl="2" w:tplc="1C52C87E">
      <w:start w:val="1"/>
      <w:numFmt w:val="bullet"/>
      <w:lvlText w:val="•"/>
      <w:lvlJc w:val="left"/>
      <w:pPr>
        <w:tabs>
          <w:tab w:val="num" w:pos="1800"/>
        </w:tabs>
        <w:ind w:left="1800" w:hanging="360"/>
      </w:pPr>
      <w:rPr>
        <w:rFonts w:ascii="Arial" w:hAnsi="Arial" w:cs="Arial" w:hint="default"/>
      </w:rPr>
    </w:lvl>
    <w:lvl w:ilvl="3" w:tplc="08AC0984">
      <w:start w:val="1"/>
      <w:numFmt w:val="bullet"/>
      <w:lvlText w:val="•"/>
      <w:lvlJc w:val="left"/>
      <w:pPr>
        <w:tabs>
          <w:tab w:val="num" w:pos="2520"/>
        </w:tabs>
        <w:ind w:left="2520" w:hanging="360"/>
      </w:pPr>
      <w:rPr>
        <w:rFonts w:ascii="Arial" w:hAnsi="Arial" w:cs="Arial" w:hint="default"/>
      </w:rPr>
    </w:lvl>
    <w:lvl w:ilvl="4" w:tplc="662AE8F8">
      <w:start w:val="1"/>
      <w:numFmt w:val="bullet"/>
      <w:lvlText w:val="•"/>
      <w:lvlJc w:val="left"/>
      <w:pPr>
        <w:tabs>
          <w:tab w:val="num" w:pos="3240"/>
        </w:tabs>
        <w:ind w:left="3240" w:hanging="360"/>
      </w:pPr>
      <w:rPr>
        <w:rFonts w:ascii="Arial" w:hAnsi="Arial" w:cs="Arial" w:hint="default"/>
      </w:rPr>
    </w:lvl>
    <w:lvl w:ilvl="5" w:tplc="061A5996">
      <w:start w:val="1"/>
      <w:numFmt w:val="bullet"/>
      <w:lvlText w:val="•"/>
      <w:lvlJc w:val="left"/>
      <w:pPr>
        <w:tabs>
          <w:tab w:val="num" w:pos="3960"/>
        </w:tabs>
        <w:ind w:left="3960" w:hanging="360"/>
      </w:pPr>
      <w:rPr>
        <w:rFonts w:ascii="Arial" w:hAnsi="Arial" w:cs="Arial" w:hint="default"/>
      </w:rPr>
    </w:lvl>
    <w:lvl w:ilvl="6" w:tplc="4218DE90">
      <w:start w:val="1"/>
      <w:numFmt w:val="bullet"/>
      <w:lvlText w:val="•"/>
      <w:lvlJc w:val="left"/>
      <w:pPr>
        <w:tabs>
          <w:tab w:val="num" w:pos="4680"/>
        </w:tabs>
        <w:ind w:left="4680" w:hanging="360"/>
      </w:pPr>
      <w:rPr>
        <w:rFonts w:ascii="Arial" w:hAnsi="Arial" w:cs="Arial" w:hint="default"/>
      </w:rPr>
    </w:lvl>
    <w:lvl w:ilvl="7" w:tplc="CED66454">
      <w:start w:val="1"/>
      <w:numFmt w:val="bullet"/>
      <w:lvlText w:val="•"/>
      <w:lvlJc w:val="left"/>
      <w:pPr>
        <w:tabs>
          <w:tab w:val="num" w:pos="5400"/>
        </w:tabs>
        <w:ind w:left="5400" w:hanging="360"/>
      </w:pPr>
      <w:rPr>
        <w:rFonts w:ascii="Arial" w:hAnsi="Arial" w:cs="Arial" w:hint="default"/>
      </w:rPr>
    </w:lvl>
    <w:lvl w:ilvl="8" w:tplc="52563504">
      <w:start w:val="1"/>
      <w:numFmt w:val="bullet"/>
      <w:lvlText w:val="•"/>
      <w:lvlJc w:val="left"/>
      <w:pPr>
        <w:tabs>
          <w:tab w:val="num" w:pos="6120"/>
        </w:tabs>
        <w:ind w:left="6120" w:hanging="360"/>
      </w:pPr>
      <w:rPr>
        <w:rFonts w:ascii="Arial" w:hAnsi="Arial" w:cs="Arial" w:hint="default"/>
      </w:rPr>
    </w:lvl>
  </w:abstractNum>
  <w:abstractNum w:abstractNumId="6">
    <w:nsid w:val="24255E80"/>
    <w:multiLevelType w:val="hybridMultilevel"/>
    <w:tmpl w:val="30C42F92"/>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7">
    <w:nsid w:val="25491511"/>
    <w:multiLevelType w:val="hybridMultilevel"/>
    <w:tmpl w:val="BAF4AA72"/>
    <w:lvl w:ilvl="0" w:tplc="890C2758">
      <w:start w:val="1"/>
      <w:numFmt w:val="bullet"/>
      <w:lvlText w:val="•"/>
      <w:lvlJc w:val="left"/>
      <w:pPr>
        <w:tabs>
          <w:tab w:val="num" w:pos="360"/>
        </w:tabs>
        <w:ind w:left="360" w:hanging="360"/>
      </w:pPr>
      <w:rPr>
        <w:rFonts w:ascii="Arial" w:hAnsi="Arial" w:cs="Arial" w:hint="default"/>
      </w:rPr>
    </w:lvl>
    <w:lvl w:ilvl="1" w:tplc="DF289E7C">
      <w:start w:val="1"/>
      <w:numFmt w:val="bullet"/>
      <w:lvlText w:val="•"/>
      <w:lvlJc w:val="left"/>
      <w:pPr>
        <w:tabs>
          <w:tab w:val="num" w:pos="1080"/>
        </w:tabs>
        <w:ind w:left="1080" w:hanging="360"/>
      </w:pPr>
      <w:rPr>
        <w:rFonts w:ascii="Arial" w:hAnsi="Arial" w:cs="Arial" w:hint="default"/>
      </w:rPr>
    </w:lvl>
    <w:lvl w:ilvl="2" w:tplc="68D65D14">
      <w:start w:val="1"/>
      <w:numFmt w:val="bullet"/>
      <w:lvlText w:val="•"/>
      <w:lvlJc w:val="left"/>
      <w:pPr>
        <w:tabs>
          <w:tab w:val="num" w:pos="1800"/>
        </w:tabs>
        <w:ind w:left="1800" w:hanging="360"/>
      </w:pPr>
      <w:rPr>
        <w:rFonts w:ascii="Arial" w:hAnsi="Arial" w:cs="Arial" w:hint="default"/>
      </w:rPr>
    </w:lvl>
    <w:lvl w:ilvl="3" w:tplc="2340BB76">
      <w:start w:val="1"/>
      <w:numFmt w:val="bullet"/>
      <w:lvlText w:val="•"/>
      <w:lvlJc w:val="left"/>
      <w:pPr>
        <w:tabs>
          <w:tab w:val="num" w:pos="2520"/>
        </w:tabs>
        <w:ind w:left="2520" w:hanging="360"/>
      </w:pPr>
      <w:rPr>
        <w:rFonts w:ascii="Arial" w:hAnsi="Arial" w:cs="Arial" w:hint="default"/>
      </w:rPr>
    </w:lvl>
    <w:lvl w:ilvl="4" w:tplc="2FF8862A">
      <w:start w:val="1"/>
      <w:numFmt w:val="bullet"/>
      <w:lvlText w:val="•"/>
      <w:lvlJc w:val="left"/>
      <w:pPr>
        <w:tabs>
          <w:tab w:val="num" w:pos="3240"/>
        </w:tabs>
        <w:ind w:left="3240" w:hanging="360"/>
      </w:pPr>
      <w:rPr>
        <w:rFonts w:ascii="Arial" w:hAnsi="Arial" w:cs="Arial" w:hint="default"/>
      </w:rPr>
    </w:lvl>
    <w:lvl w:ilvl="5" w:tplc="71BCBE42">
      <w:start w:val="1"/>
      <w:numFmt w:val="bullet"/>
      <w:lvlText w:val="•"/>
      <w:lvlJc w:val="left"/>
      <w:pPr>
        <w:tabs>
          <w:tab w:val="num" w:pos="3960"/>
        </w:tabs>
        <w:ind w:left="3960" w:hanging="360"/>
      </w:pPr>
      <w:rPr>
        <w:rFonts w:ascii="Arial" w:hAnsi="Arial" w:cs="Arial" w:hint="default"/>
      </w:rPr>
    </w:lvl>
    <w:lvl w:ilvl="6" w:tplc="95A68F58">
      <w:start w:val="1"/>
      <w:numFmt w:val="bullet"/>
      <w:lvlText w:val="•"/>
      <w:lvlJc w:val="left"/>
      <w:pPr>
        <w:tabs>
          <w:tab w:val="num" w:pos="4680"/>
        </w:tabs>
        <w:ind w:left="4680" w:hanging="360"/>
      </w:pPr>
      <w:rPr>
        <w:rFonts w:ascii="Arial" w:hAnsi="Arial" w:cs="Arial" w:hint="default"/>
      </w:rPr>
    </w:lvl>
    <w:lvl w:ilvl="7" w:tplc="897CD100">
      <w:start w:val="1"/>
      <w:numFmt w:val="bullet"/>
      <w:lvlText w:val="•"/>
      <w:lvlJc w:val="left"/>
      <w:pPr>
        <w:tabs>
          <w:tab w:val="num" w:pos="5400"/>
        </w:tabs>
        <w:ind w:left="5400" w:hanging="360"/>
      </w:pPr>
      <w:rPr>
        <w:rFonts w:ascii="Arial" w:hAnsi="Arial" w:cs="Arial" w:hint="default"/>
      </w:rPr>
    </w:lvl>
    <w:lvl w:ilvl="8" w:tplc="8F588478">
      <w:start w:val="1"/>
      <w:numFmt w:val="bullet"/>
      <w:lvlText w:val="•"/>
      <w:lvlJc w:val="left"/>
      <w:pPr>
        <w:tabs>
          <w:tab w:val="num" w:pos="6120"/>
        </w:tabs>
        <w:ind w:left="6120" w:hanging="360"/>
      </w:pPr>
      <w:rPr>
        <w:rFonts w:ascii="Arial" w:hAnsi="Arial" w:cs="Arial" w:hint="default"/>
      </w:rPr>
    </w:lvl>
  </w:abstractNum>
  <w:abstractNum w:abstractNumId="8">
    <w:nsid w:val="26A71CC1"/>
    <w:multiLevelType w:val="hybridMultilevel"/>
    <w:tmpl w:val="C2E446C2"/>
    <w:lvl w:ilvl="0" w:tplc="203C1468">
      <w:start w:val="16"/>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9">
    <w:nsid w:val="274F3F0D"/>
    <w:multiLevelType w:val="hybridMultilevel"/>
    <w:tmpl w:val="50982C00"/>
    <w:lvl w:ilvl="0" w:tplc="587AB12E">
      <w:start w:val="1"/>
      <w:numFmt w:val="bullet"/>
      <w:lvlText w:val="•"/>
      <w:lvlJc w:val="left"/>
      <w:pPr>
        <w:tabs>
          <w:tab w:val="num" w:pos="360"/>
        </w:tabs>
        <w:ind w:left="360" w:hanging="360"/>
      </w:pPr>
      <w:rPr>
        <w:rFonts w:ascii="Arial" w:hAnsi="Arial" w:cs="Arial" w:hint="default"/>
      </w:rPr>
    </w:lvl>
    <w:lvl w:ilvl="1" w:tplc="A742FCAC">
      <w:start w:val="1"/>
      <w:numFmt w:val="bullet"/>
      <w:lvlText w:val="•"/>
      <w:lvlJc w:val="left"/>
      <w:pPr>
        <w:tabs>
          <w:tab w:val="num" w:pos="1080"/>
        </w:tabs>
        <w:ind w:left="1080" w:hanging="360"/>
      </w:pPr>
      <w:rPr>
        <w:rFonts w:ascii="Arial" w:hAnsi="Arial" w:cs="Arial" w:hint="default"/>
      </w:rPr>
    </w:lvl>
    <w:lvl w:ilvl="2" w:tplc="1C960AB0">
      <w:start w:val="1"/>
      <w:numFmt w:val="bullet"/>
      <w:lvlText w:val="•"/>
      <w:lvlJc w:val="left"/>
      <w:pPr>
        <w:tabs>
          <w:tab w:val="num" w:pos="1800"/>
        </w:tabs>
        <w:ind w:left="1800" w:hanging="360"/>
      </w:pPr>
      <w:rPr>
        <w:rFonts w:ascii="Arial" w:hAnsi="Arial" w:cs="Arial" w:hint="default"/>
      </w:rPr>
    </w:lvl>
    <w:lvl w:ilvl="3" w:tplc="5A46899C">
      <w:start w:val="1"/>
      <w:numFmt w:val="bullet"/>
      <w:lvlText w:val="•"/>
      <w:lvlJc w:val="left"/>
      <w:pPr>
        <w:tabs>
          <w:tab w:val="num" w:pos="2520"/>
        </w:tabs>
        <w:ind w:left="2520" w:hanging="360"/>
      </w:pPr>
      <w:rPr>
        <w:rFonts w:ascii="Arial" w:hAnsi="Arial" w:cs="Arial" w:hint="default"/>
      </w:rPr>
    </w:lvl>
    <w:lvl w:ilvl="4" w:tplc="B14AD6CC">
      <w:start w:val="1"/>
      <w:numFmt w:val="bullet"/>
      <w:lvlText w:val="•"/>
      <w:lvlJc w:val="left"/>
      <w:pPr>
        <w:tabs>
          <w:tab w:val="num" w:pos="3240"/>
        </w:tabs>
        <w:ind w:left="3240" w:hanging="360"/>
      </w:pPr>
      <w:rPr>
        <w:rFonts w:ascii="Arial" w:hAnsi="Arial" w:cs="Arial" w:hint="default"/>
      </w:rPr>
    </w:lvl>
    <w:lvl w:ilvl="5" w:tplc="C9568DFA">
      <w:start w:val="1"/>
      <w:numFmt w:val="bullet"/>
      <w:lvlText w:val="•"/>
      <w:lvlJc w:val="left"/>
      <w:pPr>
        <w:tabs>
          <w:tab w:val="num" w:pos="3960"/>
        </w:tabs>
        <w:ind w:left="3960" w:hanging="360"/>
      </w:pPr>
      <w:rPr>
        <w:rFonts w:ascii="Arial" w:hAnsi="Arial" w:cs="Arial" w:hint="default"/>
      </w:rPr>
    </w:lvl>
    <w:lvl w:ilvl="6" w:tplc="571A1BCA">
      <w:start w:val="1"/>
      <w:numFmt w:val="bullet"/>
      <w:lvlText w:val="•"/>
      <w:lvlJc w:val="left"/>
      <w:pPr>
        <w:tabs>
          <w:tab w:val="num" w:pos="4680"/>
        </w:tabs>
        <w:ind w:left="4680" w:hanging="360"/>
      </w:pPr>
      <w:rPr>
        <w:rFonts w:ascii="Arial" w:hAnsi="Arial" w:cs="Arial" w:hint="default"/>
      </w:rPr>
    </w:lvl>
    <w:lvl w:ilvl="7" w:tplc="6E3EE0E0">
      <w:start w:val="1"/>
      <w:numFmt w:val="bullet"/>
      <w:lvlText w:val="•"/>
      <w:lvlJc w:val="left"/>
      <w:pPr>
        <w:tabs>
          <w:tab w:val="num" w:pos="5400"/>
        </w:tabs>
        <w:ind w:left="5400" w:hanging="360"/>
      </w:pPr>
      <w:rPr>
        <w:rFonts w:ascii="Arial" w:hAnsi="Arial" w:cs="Arial" w:hint="default"/>
      </w:rPr>
    </w:lvl>
    <w:lvl w:ilvl="8" w:tplc="AB324F0A">
      <w:start w:val="1"/>
      <w:numFmt w:val="bullet"/>
      <w:lvlText w:val="•"/>
      <w:lvlJc w:val="left"/>
      <w:pPr>
        <w:tabs>
          <w:tab w:val="num" w:pos="6120"/>
        </w:tabs>
        <w:ind w:left="6120" w:hanging="360"/>
      </w:pPr>
      <w:rPr>
        <w:rFonts w:ascii="Arial" w:hAnsi="Arial" w:cs="Arial" w:hint="default"/>
      </w:rPr>
    </w:lvl>
  </w:abstractNum>
  <w:abstractNum w:abstractNumId="10">
    <w:nsid w:val="292E05D7"/>
    <w:multiLevelType w:val="hybridMultilevel"/>
    <w:tmpl w:val="5896E38A"/>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29B248FD"/>
    <w:multiLevelType w:val="multilevel"/>
    <w:tmpl w:val="2CC0421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4D36D1"/>
    <w:multiLevelType w:val="hybridMultilevel"/>
    <w:tmpl w:val="6B3E84BC"/>
    <w:lvl w:ilvl="0" w:tplc="8370F570">
      <w:start w:val="1"/>
      <w:numFmt w:val="bullet"/>
      <w:lvlText w:val="•"/>
      <w:lvlJc w:val="left"/>
      <w:pPr>
        <w:tabs>
          <w:tab w:val="num" w:pos="360"/>
        </w:tabs>
        <w:ind w:left="360" w:hanging="360"/>
      </w:pPr>
      <w:rPr>
        <w:rFonts w:ascii="Arial" w:hAnsi="Arial" w:cs="Arial" w:hint="default"/>
      </w:rPr>
    </w:lvl>
    <w:lvl w:ilvl="1" w:tplc="6736F622">
      <w:start w:val="1"/>
      <w:numFmt w:val="bullet"/>
      <w:lvlText w:val="•"/>
      <w:lvlJc w:val="left"/>
      <w:pPr>
        <w:tabs>
          <w:tab w:val="num" w:pos="1080"/>
        </w:tabs>
        <w:ind w:left="1080" w:hanging="360"/>
      </w:pPr>
      <w:rPr>
        <w:rFonts w:ascii="Arial" w:hAnsi="Arial" w:cs="Arial" w:hint="default"/>
      </w:rPr>
    </w:lvl>
    <w:lvl w:ilvl="2" w:tplc="1FF42D72">
      <w:start w:val="1"/>
      <w:numFmt w:val="bullet"/>
      <w:lvlText w:val="•"/>
      <w:lvlJc w:val="left"/>
      <w:pPr>
        <w:tabs>
          <w:tab w:val="num" w:pos="1800"/>
        </w:tabs>
        <w:ind w:left="1800" w:hanging="360"/>
      </w:pPr>
      <w:rPr>
        <w:rFonts w:ascii="Arial" w:hAnsi="Arial" w:cs="Arial" w:hint="default"/>
      </w:rPr>
    </w:lvl>
    <w:lvl w:ilvl="3" w:tplc="E3747A84">
      <w:start w:val="1"/>
      <w:numFmt w:val="bullet"/>
      <w:lvlText w:val="•"/>
      <w:lvlJc w:val="left"/>
      <w:pPr>
        <w:tabs>
          <w:tab w:val="num" w:pos="2520"/>
        </w:tabs>
        <w:ind w:left="2520" w:hanging="360"/>
      </w:pPr>
      <w:rPr>
        <w:rFonts w:ascii="Arial" w:hAnsi="Arial" w:cs="Arial" w:hint="default"/>
      </w:rPr>
    </w:lvl>
    <w:lvl w:ilvl="4" w:tplc="AC98F71A">
      <w:start w:val="1"/>
      <w:numFmt w:val="bullet"/>
      <w:lvlText w:val="•"/>
      <w:lvlJc w:val="left"/>
      <w:pPr>
        <w:tabs>
          <w:tab w:val="num" w:pos="3240"/>
        </w:tabs>
        <w:ind w:left="3240" w:hanging="360"/>
      </w:pPr>
      <w:rPr>
        <w:rFonts w:ascii="Arial" w:hAnsi="Arial" w:cs="Arial" w:hint="default"/>
      </w:rPr>
    </w:lvl>
    <w:lvl w:ilvl="5" w:tplc="52BA3968">
      <w:start w:val="1"/>
      <w:numFmt w:val="bullet"/>
      <w:lvlText w:val="•"/>
      <w:lvlJc w:val="left"/>
      <w:pPr>
        <w:tabs>
          <w:tab w:val="num" w:pos="3960"/>
        </w:tabs>
        <w:ind w:left="3960" w:hanging="360"/>
      </w:pPr>
      <w:rPr>
        <w:rFonts w:ascii="Arial" w:hAnsi="Arial" w:cs="Arial" w:hint="default"/>
      </w:rPr>
    </w:lvl>
    <w:lvl w:ilvl="6" w:tplc="C5D8615A">
      <w:start w:val="1"/>
      <w:numFmt w:val="bullet"/>
      <w:lvlText w:val="•"/>
      <w:lvlJc w:val="left"/>
      <w:pPr>
        <w:tabs>
          <w:tab w:val="num" w:pos="4680"/>
        </w:tabs>
        <w:ind w:left="4680" w:hanging="360"/>
      </w:pPr>
      <w:rPr>
        <w:rFonts w:ascii="Arial" w:hAnsi="Arial" w:cs="Arial" w:hint="default"/>
      </w:rPr>
    </w:lvl>
    <w:lvl w:ilvl="7" w:tplc="3EFE0712">
      <w:start w:val="1"/>
      <w:numFmt w:val="bullet"/>
      <w:lvlText w:val="•"/>
      <w:lvlJc w:val="left"/>
      <w:pPr>
        <w:tabs>
          <w:tab w:val="num" w:pos="5400"/>
        </w:tabs>
        <w:ind w:left="5400" w:hanging="360"/>
      </w:pPr>
      <w:rPr>
        <w:rFonts w:ascii="Arial" w:hAnsi="Arial" w:cs="Arial" w:hint="default"/>
      </w:rPr>
    </w:lvl>
    <w:lvl w:ilvl="8" w:tplc="AD669E04">
      <w:start w:val="1"/>
      <w:numFmt w:val="bullet"/>
      <w:lvlText w:val="•"/>
      <w:lvlJc w:val="left"/>
      <w:pPr>
        <w:tabs>
          <w:tab w:val="num" w:pos="6120"/>
        </w:tabs>
        <w:ind w:left="6120" w:hanging="360"/>
      </w:pPr>
      <w:rPr>
        <w:rFonts w:ascii="Arial" w:hAnsi="Arial" w:cs="Arial" w:hint="default"/>
      </w:rPr>
    </w:lvl>
  </w:abstractNum>
  <w:abstractNum w:abstractNumId="13">
    <w:nsid w:val="31F250EC"/>
    <w:multiLevelType w:val="hybridMultilevel"/>
    <w:tmpl w:val="88163172"/>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4">
    <w:nsid w:val="326C14CF"/>
    <w:multiLevelType w:val="multilevel"/>
    <w:tmpl w:val="4D5C4094"/>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15">
    <w:nsid w:val="39CC0314"/>
    <w:multiLevelType w:val="hybridMultilevel"/>
    <w:tmpl w:val="AF3657D4"/>
    <w:lvl w:ilvl="0" w:tplc="BABA2C5A">
      <w:start w:val="1"/>
      <w:numFmt w:val="bullet"/>
      <w:lvlText w:val="•"/>
      <w:lvlJc w:val="left"/>
      <w:pPr>
        <w:tabs>
          <w:tab w:val="num" w:pos="720"/>
        </w:tabs>
        <w:ind w:left="720" w:hanging="360"/>
      </w:pPr>
      <w:rPr>
        <w:rFonts w:ascii="Arial" w:hAnsi="Arial" w:cs="Arial" w:hint="default"/>
      </w:rPr>
    </w:lvl>
    <w:lvl w:ilvl="1" w:tplc="E77E5046">
      <w:start w:val="1"/>
      <w:numFmt w:val="bullet"/>
      <w:lvlText w:val="•"/>
      <w:lvlJc w:val="left"/>
      <w:pPr>
        <w:tabs>
          <w:tab w:val="num" w:pos="1440"/>
        </w:tabs>
        <w:ind w:left="1440" w:hanging="360"/>
      </w:pPr>
      <w:rPr>
        <w:rFonts w:ascii="Arial" w:hAnsi="Arial" w:cs="Arial" w:hint="default"/>
      </w:rPr>
    </w:lvl>
    <w:lvl w:ilvl="2" w:tplc="1F7C6338">
      <w:start w:val="1"/>
      <w:numFmt w:val="bullet"/>
      <w:lvlText w:val="•"/>
      <w:lvlJc w:val="left"/>
      <w:pPr>
        <w:tabs>
          <w:tab w:val="num" w:pos="2160"/>
        </w:tabs>
        <w:ind w:left="2160" w:hanging="360"/>
      </w:pPr>
      <w:rPr>
        <w:rFonts w:ascii="Arial" w:hAnsi="Arial" w:cs="Arial" w:hint="default"/>
      </w:rPr>
    </w:lvl>
    <w:lvl w:ilvl="3" w:tplc="F020913A">
      <w:start w:val="1"/>
      <w:numFmt w:val="bullet"/>
      <w:lvlText w:val="•"/>
      <w:lvlJc w:val="left"/>
      <w:pPr>
        <w:tabs>
          <w:tab w:val="num" w:pos="2880"/>
        </w:tabs>
        <w:ind w:left="2880" w:hanging="360"/>
      </w:pPr>
      <w:rPr>
        <w:rFonts w:ascii="Arial" w:hAnsi="Arial" w:cs="Arial" w:hint="default"/>
      </w:rPr>
    </w:lvl>
    <w:lvl w:ilvl="4" w:tplc="FDD20DE0">
      <w:start w:val="1"/>
      <w:numFmt w:val="bullet"/>
      <w:lvlText w:val="•"/>
      <w:lvlJc w:val="left"/>
      <w:pPr>
        <w:tabs>
          <w:tab w:val="num" w:pos="3600"/>
        </w:tabs>
        <w:ind w:left="3600" w:hanging="360"/>
      </w:pPr>
      <w:rPr>
        <w:rFonts w:ascii="Arial" w:hAnsi="Arial" w:cs="Arial" w:hint="default"/>
      </w:rPr>
    </w:lvl>
    <w:lvl w:ilvl="5" w:tplc="9878C9DE">
      <w:start w:val="1"/>
      <w:numFmt w:val="bullet"/>
      <w:lvlText w:val="•"/>
      <w:lvlJc w:val="left"/>
      <w:pPr>
        <w:tabs>
          <w:tab w:val="num" w:pos="4320"/>
        </w:tabs>
        <w:ind w:left="4320" w:hanging="360"/>
      </w:pPr>
      <w:rPr>
        <w:rFonts w:ascii="Arial" w:hAnsi="Arial" w:cs="Arial" w:hint="default"/>
      </w:rPr>
    </w:lvl>
    <w:lvl w:ilvl="6" w:tplc="EC82D034">
      <w:start w:val="1"/>
      <w:numFmt w:val="bullet"/>
      <w:lvlText w:val="•"/>
      <w:lvlJc w:val="left"/>
      <w:pPr>
        <w:tabs>
          <w:tab w:val="num" w:pos="5040"/>
        </w:tabs>
        <w:ind w:left="5040" w:hanging="360"/>
      </w:pPr>
      <w:rPr>
        <w:rFonts w:ascii="Arial" w:hAnsi="Arial" w:cs="Arial" w:hint="default"/>
      </w:rPr>
    </w:lvl>
    <w:lvl w:ilvl="7" w:tplc="E222D8E6">
      <w:start w:val="1"/>
      <w:numFmt w:val="bullet"/>
      <w:lvlText w:val="•"/>
      <w:lvlJc w:val="left"/>
      <w:pPr>
        <w:tabs>
          <w:tab w:val="num" w:pos="5760"/>
        </w:tabs>
        <w:ind w:left="5760" w:hanging="360"/>
      </w:pPr>
      <w:rPr>
        <w:rFonts w:ascii="Arial" w:hAnsi="Arial" w:cs="Arial" w:hint="default"/>
      </w:rPr>
    </w:lvl>
    <w:lvl w:ilvl="8" w:tplc="6A64D64E">
      <w:start w:val="1"/>
      <w:numFmt w:val="bullet"/>
      <w:lvlText w:val="•"/>
      <w:lvlJc w:val="left"/>
      <w:pPr>
        <w:tabs>
          <w:tab w:val="num" w:pos="6480"/>
        </w:tabs>
        <w:ind w:left="6480" w:hanging="360"/>
      </w:pPr>
      <w:rPr>
        <w:rFonts w:ascii="Arial" w:hAnsi="Arial" w:cs="Arial" w:hint="default"/>
      </w:rPr>
    </w:lvl>
  </w:abstractNum>
  <w:abstractNum w:abstractNumId="16">
    <w:nsid w:val="41EF1FD9"/>
    <w:multiLevelType w:val="hybridMultilevel"/>
    <w:tmpl w:val="19E84A30"/>
    <w:lvl w:ilvl="0" w:tplc="04090001">
      <w:start w:val="7551"/>
      <w:numFmt w:val="bullet"/>
      <w:lvlText w:val="-"/>
      <w:lvlJc w:val="left"/>
      <w:pPr>
        <w:ind w:left="360" w:hanging="360"/>
      </w:pPr>
      <w:rPr>
        <w:rFonts w:ascii="Calibri" w:eastAsia="SimSun"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nsid w:val="41F75571"/>
    <w:multiLevelType w:val="hybridMultilevel"/>
    <w:tmpl w:val="1EB0B8F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8">
    <w:nsid w:val="43EC7397"/>
    <w:multiLevelType w:val="hybridMultilevel"/>
    <w:tmpl w:val="5C325F4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4E0B3E98"/>
    <w:multiLevelType w:val="hybridMultilevel"/>
    <w:tmpl w:val="3EFE118A"/>
    <w:lvl w:ilvl="0" w:tplc="203C1468">
      <w:start w:val="16"/>
      <w:numFmt w:val="bullet"/>
      <w:lvlText w:val="-"/>
      <w:lvlJc w:val="left"/>
      <w:pPr>
        <w:tabs>
          <w:tab w:val="num" w:pos="720"/>
        </w:tabs>
        <w:ind w:left="720" w:hanging="360"/>
      </w:pPr>
      <w:rPr>
        <w:rFonts w:ascii="Calibri" w:eastAsia="Times New Roman" w:hAnsi="Calibri" w:hint="default"/>
      </w:rPr>
    </w:lvl>
    <w:lvl w:ilvl="1" w:tplc="DA08F4FC">
      <w:start w:val="213"/>
      <w:numFmt w:val="bullet"/>
      <w:lvlText w:val="–"/>
      <w:lvlJc w:val="left"/>
      <w:pPr>
        <w:tabs>
          <w:tab w:val="num" w:pos="1440"/>
        </w:tabs>
        <w:ind w:left="1440" w:hanging="360"/>
      </w:pPr>
      <w:rPr>
        <w:rFonts w:ascii="Arial" w:hAnsi="Arial" w:cs="Arial" w:hint="default"/>
      </w:rPr>
    </w:lvl>
    <w:lvl w:ilvl="2" w:tplc="1986AF70">
      <w:start w:val="1"/>
      <w:numFmt w:val="bullet"/>
      <w:lvlText w:val="•"/>
      <w:lvlJc w:val="left"/>
      <w:pPr>
        <w:tabs>
          <w:tab w:val="num" w:pos="2160"/>
        </w:tabs>
        <w:ind w:left="2160" w:hanging="360"/>
      </w:pPr>
      <w:rPr>
        <w:rFonts w:ascii="Arial" w:hAnsi="Arial" w:cs="Arial" w:hint="default"/>
      </w:rPr>
    </w:lvl>
    <w:lvl w:ilvl="3" w:tplc="0038B7A0">
      <w:start w:val="1"/>
      <w:numFmt w:val="bullet"/>
      <w:lvlText w:val="•"/>
      <w:lvlJc w:val="left"/>
      <w:pPr>
        <w:tabs>
          <w:tab w:val="num" w:pos="2880"/>
        </w:tabs>
        <w:ind w:left="2880" w:hanging="360"/>
      </w:pPr>
      <w:rPr>
        <w:rFonts w:ascii="Arial" w:hAnsi="Arial" w:cs="Arial" w:hint="default"/>
      </w:rPr>
    </w:lvl>
    <w:lvl w:ilvl="4" w:tplc="02803628">
      <w:start w:val="1"/>
      <w:numFmt w:val="bullet"/>
      <w:lvlText w:val="•"/>
      <w:lvlJc w:val="left"/>
      <w:pPr>
        <w:tabs>
          <w:tab w:val="num" w:pos="3600"/>
        </w:tabs>
        <w:ind w:left="3600" w:hanging="360"/>
      </w:pPr>
      <w:rPr>
        <w:rFonts w:ascii="Arial" w:hAnsi="Arial" w:cs="Arial" w:hint="default"/>
      </w:rPr>
    </w:lvl>
    <w:lvl w:ilvl="5" w:tplc="1940EDBA">
      <w:start w:val="1"/>
      <w:numFmt w:val="bullet"/>
      <w:lvlText w:val="•"/>
      <w:lvlJc w:val="left"/>
      <w:pPr>
        <w:tabs>
          <w:tab w:val="num" w:pos="4320"/>
        </w:tabs>
        <w:ind w:left="4320" w:hanging="360"/>
      </w:pPr>
      <w:rPr>
        <w:rFonts w:ascii="Arial" w:hAnsi="Arial" w:cs="Arial" w:hint="default"/>
      </w:rPr>
    </w:lvl>
    <w:lvl w:ilvl="6" w:tplc="B5506EB4">
      <w:start w:val="1"/>
      <w:numFmt w:val="bullet"/>
      <w:lvlText w:val="•"/>
      <w:lvlJc w:val="left"/>
      <w:pPr>
        <w:tabs>
          <w:tab w:val="num" w:pos="5040"/>
        </w:tabs>
        <w:ind w:left="5040" w:hanging="360"/>
      </w:pPr>
      <w:rPr>
        <w:rFonts w:ascii="Arial" w:hAnsi="Arial" w:cs="Arial" w:hint="default"/>
      </w:rPr>
    </w:lvl>
    <w:lvl w:ilvl="7" w:tplc="4B20A2E6">
      <w:start w:val="1"/>
      <w:numFmt w:val="bullet"/>
      <w:lvlText w:val="•"/>
      <w:lvlJc w:val="left"/>
      <w:pPr>
        <w:tabs>
          <w:tab w:val="num" w:pos="5760"/>
        </w:tabs>
        <w:ind w:left="5760" w:hanging="360"/>
      </w:pPr>
      <w:rPr>
        <w:rFonts w:ascii="Arial" w:hAnsi="Arial" w:cs="Arial" w:hint="default"/>
      </w:rPr>
    </w:lvl>
    <w:lvl w:ilvl="8" w:tplc="BA48E7EE">
      <w:start w:val="1"/>
      <w:numFmt w:val="bullet"/>
      <w:lvlText w:val="•"/>
      <w:lvlJc w:val="left"/>
      <w:pPr>
        <w:tabs>
          <w:tab w:val="num" w:pos="6480"/>
        </w:tabs>
        <w:ind w:left="6480" w:hanging="360"/>
      </w:pPr>
      <w:rPr>
        <w:rFonts w:ascii="Arial" w:hAnsi="Arial" w:cs="Arial" w:hint="default"/>
      </w:rPr>
    </w:lvl>
  </w:abstractNum>
  <w:abstractNum w:abstractNumId="20">
    <w:nsid w:val="4E0C6E11"/>
    <w:multiLevelType w:val="hybridMultilevel"/>
    <w:tmpl w:val="99526026"/>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1">
    <w:nsid w:val="4EB77524"/>
    <w:multiLevelType w:val="hybridMultilevel"/>
    <w:tmpl w:val="709C7D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4ED75E34"/>
    <w:multiLevelType w:val="hybridMultilevel"/>
    <w:tmpl w:val="7F381F04"/>
    <w:lvl w:ilvl="0" w:tplc="29CAA458">
      <w:start w:val="1"/>
      <w:numFmt w:val="bullet"/>
      <w:lvlText w:val="•"/>
      <w:lvlJc w:val="left"/>
      <w:pPr>
        <w:tabs>
          <w:tab w:val="num" w:pos="360"/>
        </w:tabs>
        <w:ind w:left="360" w:hanging="360"/>
      </w:pPr>
      <w:rPr>
        <w:rFonts w:ascii="Arial" w:hAnsi="Arial" w:cs="Arial" w:hint="default"/>
      </w:rPr>
    </w:lvl>
    <w:lvl w:ilvl="1" w:tplc="61BA8EF2">
      <w:start w:val="1"/>
      <w:numFmt w:val="bullet"/>
      <w:lvlText w:val="•"/>
      <w:lvlJc w:val="left"/>
      <w:pPr>
        <w:tabs>
          <w:tab w:val="num" w:pos="1080"/>
        </w:tabs>
        <w:ind w:left="1080" w:hanging="360"/>
      </w:pPr>
      <w:rPr>
        <w:rFonts w:ascii="Arial" w:hAnsi="Arial" w:cs="Arial" w:hint="default"/>
      </w:rPr>
    </w:lvl>
    <w:lvl w:ilvl="2" w:tplc="533824F6">
      <w:start w:val="1"/>
      <w:numFmt w:val="bullet"/>
      <w:lvlText w:val="•"/>
      <w:lvlJc w:val="left"/>
      <w:pPr>
        <w:tabs>
          <w:tab w:val="num" w:pos="1800"/>
        </w:tabs>
        <w:ind w:left="1800" w:hanging="360"/>
      </w:pPr>
      <w:rPr>
        <w:rFonts w:ascii="Arial" w:hAnsi="Arial" w:cs="Arial" w:hint="default"/>
      </w:rPr>
    </w:lvl>
    <w:lvl w:ilvl="3" w:tplc="39B06F72">
      <w:start w:val="1"/>
      <w:numFmt w:val="bullet"/>
      <w:lvlText w:val="•"/>
      <w:lvlJc w:val="left"/>
      <w:pPr>
        <w:tabs>
          <w:tab w:val="num" w:pos="2520"/>
        </w:tabs>
        <w:ind w:left="2520" w:hanging="360"/>
      </w:pPr>
      <w:rPr>
        <w:rFonts w:ascii="Arial" w:hAnsi="Arial" w:cs="Arial" w:hint="default"/>
      </w:rPr>
    </w:lvl>
    <w:lvl w:ilvl="4" w:tplc="09BE3276">
      <w:start w:val="1"/>
      <w:numFmt w:val="bullet"/>
      <w:lvlText w:val="•"/>
      <w:lvlJc w:val="left"/>
      <w:pPr>
        <w:tabs>
          <w:tab w:val="num" w:pos="3240"/>
        </w:tabs>
        <w:ind w:left="3240" w:hanging="360"/>
      </w:pPr>
      <w:rPr>
        <w:rFonts w:ascii="Arial" w:hAnsi="Arial" w:cs="Arial" w:hint="default"/>
      </w:rPr>
    </w:lvl>
    <w:lvl w:ilvl="5" w:tplc="25F8149C">
      <w:start w:val="1"/>
      <w:numFmt w:val="bullet"/>
      <w:lvlText w:val="•"/>
      <w:lvlJc w:val="left"/>
      <w:pPr>
        <w:tabs>
          <w:tab w:val="num" w:pos="3960"/>
        </w:tabs>
        <w:ind w:left="3960" w:hanging="360"/>
      </w:pPr>
      <w:rPr>
        <w:rFonts w:ascii="Arial" w:hAnsi="Arial" w:cs="Arial" w:hint="default"/>
      </w:rPr>
    </w:lvl>
    <w:lvl w:ilvl="6" w:tplc="1F22C808">
      <w:start w:val="1"/>
      <w:numFmt w:val="bullet"/>
      <w:lvlText w:val="•"/>
      <w:lvlJc w:val="left"/>
      <w:pPr>
        <w:tabs>
          <w:tab w:val="num" w:pos="4680"/>
        </w:tabs>
        <w:ind w:left="4680" w:hanging="360"/>
      </w:pPr>
      <w:rPr>
        <w:rFonts w:ascii="Arial" w:hAnsi="Arial" w:cs="Arial" w:hint="default"/>
      </w:rPr>
    </w:lvl>
    <w:lvl w:ilvl="7" w:tplc="4E765BBC">
      <w:start w:val="1"/>
      <w:numFmt w:val="bullet"/>
      <w:lvlText w:val="•"/>
      <w:lvlJc w:val="left"/>
      <w:pPr>
        <w:tabs>
          <w:tab w:val="num" w:pos="5400"/>
        </w:tabs>
        <w:ind w:left="5400" w:hanging="360"/>
      </w:pPr>
      <w:rPr>
        <w:rFonts w:ascii="Arial" w:hAnsi="Arial" w:cs="Arial" w:hint="default"/>
      </w:rPr>
    </w:lvl>
    <w:lvl w:ilvl="8" w:tplc="B06CAB4E">
      <w:start w:val="1"/>
      <w:numFmt w:val="bullet"/>
      <w:lvlText w:val="•"/>
      <w:lvlJc w:val="left"/>
      <w:pPr>
        <w:tabs>
          <w:tab w:val="num" w:pos="6120"/>
        </w:tabs>
        <w:ind w:left="6120" w:hanging="360"/>
      </w:pPr>
      <w:rPr>
        <w:rFonts w:ascii="Arial" w:hAnsi="Arial" w:cs="Arial" w:hint="default"/>
      </w:rPr>
    </w:lvl>
  </w:abstractNum>
  <w:abstractNum w:abstractNumId="23">
    <w:nsid w:val="525C4C87"/>
    <w:multiLevelType w:val="hybridMultilevel"/>
    <w:tmpl w:val="448E88E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4">
    <w:nsid w:val="551140DE"/>
    <w:multiLevelType w:val="hybridMultilevel"/>
    <w:tmpl w:val="A02C3B16"/>
    <w:lvl w:ilvl="0" w:tplc="04090001">
      <w:start w:val="7551"/>
      <w:numFmt w:val="bullet"/>
      <w:lvlText w:val="-"/>
      <w:lvlJc w:val="left"/>
      <w:pPr>
        <w:ind w:left="720" w:hanging="360"/>
      </w:pPr>
      <w:rPr>
        <w:rFonts w:ascii="Calibri" w:eastAsia="SimSu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5651330F"/>
    <w:multiLevelType w:val="hybridMultilevel"/>
    <w:tmpl w:val="0EC4D77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nsid w:val="56BE0801"/>
    <w:multiLevelType w:val="hybridMultilevel"/>
    <w:tmpl w:val="6CC40FAC"/>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7">
    <w:nsid w:val="5CB84E37"/>
    <w:multiLevelType w:val="hybridMultilevel"/>
    <w:tmpl w:val="D64CE1EE"/>
    <w:lvl w:ilvl="0" w:tplc="0BB2046C">
      <w:start w:val="1"/>
      <w:numFmt w:val="bullet"/>
      <w:lvlText w:val="•"/>
      <w:lvlJc w:val="left"/>
      <w:pPr>
        <w:tabs>
          <w:tab w:val="num" w:pos="720"/>
        </w:tabs>
        <w:ind w:left="720" w:hanging="360"/>
      </w:pPr>
      <w:rPr>
        <w:rFonts w:ascii="Arial" w:hAnsi="Arial" w:cs="Arial" w:hint="default"/>
      </w:rPr>
    </w:lvl>
    <w:lvl w:ilvl="1" w:tplc="2454001E">
      <w:start w:val="1"/>
      <w:numFmt w:val="bullet"/>
      <w:lvlText w:val="•"/>
      <w:lvlJc w:val="left"/>
      <w:pPr>
        <w:tabs>
          <w:tab w:val="num" w:pos="1440"/>
        </w:tabs>
        <w:ind w:left="1440" w:hanging="360"/>
      </w:pPr>
      <w:rPr>
        <w:rFonts w:ascii="Arial" w:hAnsi="Arial" w:cs="Arial" w:hint="default"/>
      </w:rPr>
    </w:lvl>
    <w:lvl w:ilvl="2" w:tplc="EAB6CD54">
      <w:start w:val="1"/>
      <w:numFmt w:val="bullet"/>
      <w:lvlText w:val="•"/>
      <w:lvlJc w:val="left"/>
      <w:pPr>
        <w:tabs>
          <w:tab w:val="num" w:pos="2160"/>
        </w:tabs>
        <w:ind w:left="2160" w:hanging="360"/>
      </w:pPr>
      <w:rPr>
        <w:rFonts w:ascii="Arial" w:hAnsi="Arial" w:cs="Arial" w:hint="default"/>
      </w:rPr>
    </w:lvl>
    <w:lvl w:ilvl="3" w:tplc="C18A53BC">
      <w:start w:val="1"/>
      <w:numFmt w:val="bullet"/>
      <w:lvlText w:val="•"/>
      <w:lvlJc w:val="left"/>
      <w:pPr>
        <w:tabs>
          <w:tab w:val="num" w:pos="2880"/>
        </w:tabs>
        <w:ind w:left="2880" w:hanging="360"/>
      </w:pPr>
      <w:rPr>
        <w:rFonts w:ascii="Arial" w:hAnsi="Arial" w:cs="Arial" w:hint="default"/>
      </w:rPr>
    </w:lvl>
    <w:lvl w:ilvl="4" w:tplc="C4685818">
      <w:start w:val="1"/>
      <w:numFmt w:val="bullet"/>
      <w:lvlText w:val="•"/>
      <w:lvlJc w:val="left"/>
      <w:pPr>
        <w:tabs>
          <w:tab w:val="num" w:pos="3600"/>
        </w:tabs>
        <w:ind w:left="3600" w:hanging="360"/>
      </w:pPr>
      <w:rPr>
        <w:rFonts w:ascii="Arial" w:hAnsi="Arial" w:cs="Arial" w:hint="default"/>
      </w:rPr>
    </w:lvl>
    <w:lvl w:ilvl="5" w:tplc="FB6E47F4">
      <w:start w:val="1"/>
      <w:numFmt w:val="bullet"/>
      <w:lvlText w:val="•"/>
      <w:lvlJc w:val="left"/>
      <w:pPr>
        <w:tabs>
          <w:tab w:val="num" w:pos="4320"/>
        </w:tabs>
        <w:ind w:left="4320" w:hanging="360"/>
      </w:pPr>
      <w:rPr>
        <w:rFonts w:ascii="Arial" w:hAnsi="Arial" w:cs="Arial" w:hint="default"/>
      </w:rPr>
    </w:lvl>
    <w:lvl w:ilvl="6" w:tplc="C71E4740">
      <w:start w:val="1"/>
      <w:numFmt w:val="bullet"/>
      <w:lvlText w:val="•"/>
      <w:lvlJc w:val="left"/>
      <w:pPr>
        <w:tabs>
          <w:tab w:val="num" w:pos="5040"/>
        </w:tabs>
        <w:ind w:left="5040" w:hanging="360"/>
      </w:pPr>
      <w:rPr>
        <w:rFonts w:ascii="Arial" w:hAnsi="Arial" w:cs="Arial" w:hint="default"/>
      </w:rPr>
    </w:lvl>
    <w:lvl w:ilvl="7" w:tplc="E5D498DE">
      <w:start w:val="1"/>
      <w:numFmt w:val="bullet"/>
      <w:lvlText w:val="•"/>
      <w:lvlJc w:val="left"/>
      <w:pPr>
        <w:tabs>
          <w:tab w:val="num" w:pos="5760"/>
        </w:tabs>
        <w:ind w:left="5760" w:hanging="360"/>
      </w:pPr>
      <w:rPr>
        <w:rFonts w:ascii="Arial" w:hAnsi="Arial" w:cs="Arial" w:hint="default"/>
      </w:rPr>
    </w:lvl>
    <w:lvl w:ilvl="8" w:tplc="1068EA9A">
      <w:start w:val="1"/>
      <w:numFmt w:val="bullet"/>
      <w:lvlText w:val="•"/>
      <w:lvlJc w:val="left"/>
      <w:pPr>
        <w:tabs>
          <w:tab w:val="num" w:pos="6480"/>
        </w:tabs>
        <w:ind w:left="6480" w:hanging="360"/>
      </w:pPr>
      <w:rPr>
        <w:rFonts w:ascii="Arial" w:hAnsi="Arial" w:cs="Arial" w:hint="default"/>
      </w:rPr>
    </w:lvl>
  </w:abstractNum>
  <w:abstractNum w:abstractNumId="28">
    <w:nsid w:val="5ECC07A0"/>
    <w:multiLevelType w:val="hybridMultilevel"/>
    <w:tmpl w:val="78E0BF3A"/>
    <w:lvl w:ilvl="0" w:tplc="AAA87CE0">
      <w:start w:val="1"/>
      <w:numFmt w:val="bullet"/>
      <w:lvlText w:val="•"/>
      <w:lvlJc w:val="left"/>
      <w:pPr>
        <w:tabs>
          <w:tab w:val="num" w:pos="360"/>
        </w:tabs>
        <w:ind w:left="360" w:hanging="360"/>
      </w:pPr>
      <w:rPr>
        <w:rFonts w:ascii="Arial" w:hAnsi="Arial" w:cs="Arial" w:hint="default"/>
      </w:rPr>
    </w:lvl>
    <w:lvl w:ilvl="1" w:tplc="0ADACD3A">
      <w:start w:val="1"/>
      <w:numFmt w:val="bullet"/>
      <w:lvlText w:val="•"/>
      <w:lvlJc w:val="left"/>
      <w:pPr>
        <w:tabs>
          <w:tab w:val="num" w:pos="1080"/>
        </w:tabs>
        <w:ind w:left="1080" w:hanging="360"/>
      </w:pPr>
      <w:rPr>
        <w:rFonts w:ascii="Arial" w:hAnsi="Arial" w:cs="Arial" w:hint="default"/>
      </w:rPr>
    </w:lvl>
    <w:lvl w:ilvl="2" w:tplc="AA9466B6">
      <w:start w:val="1"/>
      <w:numFmt w:val="bullet"/>
      <w:lvlText w:val="•"/>
      <w:lvlJc w:val="left"/>
      <w:pPr>
        <w:tabs>
          <w:tab w:val="num" w:pos="1800"/>
        </w:tabs>
        <w:ind w:left="1800" w:hanging="360"/>
      </w:pPr>
      <w:rPr>
        <w:rFonts w:ascii="Arial" w:hAnsi="Arial" w:cs="Arial" w:hint="default"/>
      </w:rPr>
    </w:lvl>
    <w:lvl w:ilvl="3" w:tplc="F5985952">
      <w:start w:val="1"/>
      <w:numFmt w:val="bullet"/>
      <w:lvlText w:val="•"/>
      <w:lvlJc w:val="left"/>
      <w:pPr>
        <w:tabs>
          <w:tab w:val="num" w:pos="2520"/>
        </w:tabs>
        <w:ind w:left="2520" w:hanging="360"/>
      </w:pPr>
      <w:rPr>
        <w:rFonts w:ascii="Arial" w:hAnsi="Arial" w:cs="Arial" w:hint="default"/>
      </w:rPr>
    </w:lvl>
    <w:lvl w:ilvl="4" w:tplc="16F4D6A8">
      <w:start w:val="1"/>
      <w:numFmt w:val="bullet"/>
      <w:lvlText w:val="•"/>
      <w:lvlJc w:val="left"/>
      <w:pPr>
        <w:tabs>
          <w:tab w:val="num" w:pos="3240"/>
        </w:tabs>
        <w:ind w:left="3240" w:hanging="360"/>
      </w:pPr>
      <w:rPr>
        <w:rFonts w:ascii="Arial" w:hAnsi="Arial" w:cs="Arial" w:hint="default"/>
      </w:rPr>
    </w:lvl>
    <w:lvl w:ilvl="5" w:tplc="7CAEC62A">
      <w:start w:val="1"/>
      <w:numFmt w:val="bullet"/>
      <w:lvlText w:val="•"/>
      <w:lvlJc w:val="left"/>
      <w:pPr>
        <w:tabs>
          <w:tab w:val="num" w:pos="3960"/>
        </w:tabs>
        <w:ind w:left="3960" w:hanging="360"/>
      </w:pPr>
      <w:rPr>
        <w:rFonts w:ascii="Arial" w:hAnsi="Arial" w:cs="Arial" w:hint="default"/>
      </w:rPr>
    </w:lvl>
    <w:lvl w:ilvl="6" w:tplc="EAF8B508">
      <w:start w:val="1"/>
      <w:numFmt w:val="bullet"/>
      <w:lvlText w:val="•"/>
      <w:lvlJc w:val="left"/>
      <w:pPr>
        <w:tabs>
          <w:tab w:val="num" w:pos="4680"/>
        </w:tabs>
        <w:ind w:left="4680" w:hanging="360"/>
      </w:pPr>
      <w:rPr>
        <w:rFonts w:ascii="Arial" w:hAnsi="Arial" w:cs="Arial" w:hint="default"/>
      </w:rPr>
    </w:lvl>
    <w:lvl w:ilvl="7" w:tplc="7114A504">
      <w:start w:val="1"/>
      <w:numFmt w:val="bullet"/>
      <w:lvlText w:val="•"/>
      <w:lvlJc w:val="left"/>
      <w:pPr>
        <w:tabs>
          <w:tab w:val="num" w:pos="5400"/>
        </w:tabs>
        <w:ind w:left="5400" w:hanging="360"/>
      </w:pPr>
      <w:rPr>
        <w:rFonts w:ascii="Arial" w:hAnsi="Arial" w:cs="Arial" w:hint="default"/>
      </w:rPr>
    </w:lvl>
    <w:lvl w:ilvl="8" w:tplc="34B8F842">
      <w:start w:val="1"/>
      <w:numFmt w:val="bullet"/>
      <w:lvlText w:val="•"/>
      <w:lvlJc w:val="left"/>
      <w:pPr>
        <w:tabs>
          <w:tab w:val="num" w:pos="6120"/>
        </w:tabs>
        <w:ind w:left="6120" w:hanging="360"/>
      </w:pPr>
      <w:rPr>
        <w:rFonts w:ascii="Arial" w:hAnsi="Arial" w:cs="Arial" w:hint="default"/>
      </w:rPr>
    </w:lvl>
  </w:abstractNum>
  <w:abstractNum w:abstractNumId="29">
    <w:nsid w:val="5FDD726E"/>
    <w:multiLevelType w:val="hybridMultilevel"/>
    <w:tmpl w:val="71D4692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0">
    <w:nsid w:val="62680D04"/>
    <w:multiLevelType w:val="multilevel"/>
    <w:tmpl w:val="2CC0421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F22423"/>
    <w:multiLevelType w:val="hybridMultilevel"/>
    <w:tmpl w:val="1BD62222"/>
    <w:lvl w:ilvl="0" w:tplc="6E0E91C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631D283C"/>
    <w:multiLevelType w:val="hybridMultilevel"/>
    <w:tmpl w:val="89A4CED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3">
    <w:nsid w:val="64927F1F"/>
    <w:multiLevelType w:val="hybridMultilevel"/>
    <w:tmpl w:val="4B7C4E76"/>
    <w:lvl w:ilvl="0" w:tplc="6EBA72E2">
      <w:start w:val="1"/>
      <w:numFmt w:val="bullet"/>
      <w:lvlText w:val="•"/>
      <w:lvlJc w:val="left"/>
      <w:pPr>
        <w:tabs>
          <w:tab w:val="num" w:pos="720"/>
        </w:tabs>
        <w:ind w:left="720" w:hanging="360"/>
      </w:pPr>
      <w:rPr>
        <w:rFonts w:ascii="Arial" w:hAnsi="Arial" w:cs="Arial" w:hint="default"/>
      </w:rPr>
    </w:lvl>
    <w:lvl w:ilvl="1" w:tplc="DA08F4FC">
      <w:start w:val="213"/>
      <w:numFmt w:val="bullet"/>
      <w:lvlText w:val="–"/>
      <w:lvlJc w:val="left"/>
      <w:pPr>
        <w:tabs>
          <w:tab w:val="num" w:pos="1440"/>
        </w:tabs>
        <w:ind w:left="1440" w:hanging="360"/>
      </w:pPr>
      <w:rPr>
        <w:rFonts w:ascii="Arial" w:hAnsi="Arial" w:cs="Arial" w:hint="default"/>
      </w:rPr>
    </w:lvl>
    <w:lvl w:ilvl="2" w:tplc="1986AF70">
      <w:start w:val="1"/>
      <w:numFmt w:val="bullet"/>
      <w:lvlText w:val="•"/>
      <w:lvlJc w:val="left"/>
      <w:pPr>
        <w:tabs>
          <w:tab w:val="num" w:pos="2160"/>
        </w:tabs>
        <w:ind w:left="2160" w:hanging="360"/>
      </w:pPr>
      <w:rPr>
        <w:rFonts w:ascii="Arial" w:hAnsi="Arial" w:cs="Arial" w:hint="default"/>
      </w:rPr>
    </w:lvl>
    <w:lvl w:ilvl="3" w:tplc="0038B7A0">
      <w:start w:val="1"/>
      <w:numFmt w:val="bullet"/>
      <w:lvlText w:val="•"/>
      <w:lvlJc w:val="left"/>
      <w:pPr>
        <w:tabs>
          <w:tab w:val="num" w:pos="2880"/>
        </w:tabs>
        <w:ind w:left="2880" w:hanging="360"/>
      </w:pPr>
      <w:rPr>
        <w:rFonts w:ascii="Arial" w:hAnsi="Arial" w:cs="Arial" w:hint="default"/>
      </w:rPr>
    </w:lvl>
    <w:lvl w:ilvl="4" w:tplc="02803628">
      <w:start w:val="1"/>
      <w:numFmt w:val="bullet"/>
      <w:lvlText w:val="•"/>
      <w:lvlJc w:val="left"/>
      <w:pPr>
        <w:tabs>
          <w:tab w:val="num" w:pos="3600"/>
        </w:tabs>
        <w:ind w:left="3600" w:hanging="360"/>
      </w:pPr>
      <w:rPr>
        <w:rFonts w:ascii="Arial" w:hAnsi="Arial" w:cs="Arial" w:hint="default"/>
      </w:rPr>
    </w:lvl>
    <w:lvl w:ilvl="5" w:tplc="1940EDBA">
      <w:start w:val="1"/>
      <w:numFmt w:val="bullet"/>
      <w:lvlText w:val="•"/>
      <w:lvlJc w:val="left"/>
      <w:pPr>
        <w:tabs>
          <w:tab w:val="num" w:pos="4320"/>
        </w:tabs>
        <w:ind w:left="4320" w:hanging="360"/>
      </w:pPr>
      <w:rPr>
        <w:rFonts w:ascii="Arial" w:hAnsi="Arial" w:cs="Arial" w:hint="default"/>
      </w:rPr>
    </w:lvl>
    <w:lvl w:ilvl="6" w:tplc="B5506EB4">
      <w:start w:val="1"/>
      <w:numFmt w:val="bullet"/>
      <w:lvlText w:val="•"/>
      <w:lvlJc w:val="left"/>
      <w:pPr>
        <w:tabs>
          <w:tab w:val="num" w:pos="5040"/>
        </w:tabs>
        <w:ind w:left="5040" w:hanging="360"/>
      </w:pPr>
      <w:rPr>
        <w:rFonts w:ascii="Arial" w:hAnsi="Arial" w:cs="Arial" w:hint="default"/>
      </w:rPr>
    </w:lvl>
    <w:lvl w:ilvl="7" w:tplc="4B20A2E6">
      <w:start w:val="1"/>
      <w:numFmt w:val="bullet"/>
      <w:lvlText w:val="•"/>
      <w:lvlJc w:val="left"/>
      <w:pPr>
        <w:tabs>
          <w:tab w:val="num" w:pos="5760"/>
        </w:tabs>
        <w:ind w:left="5760" w:hanging="360"/>
      </w:pPr>
      <w:rPr>
        <w:rFonts w:ascii="Arial" w:hAnsi="Arial" w:cs="Arial" w:hint="default"/>
      </w:rPr>
    </w:lvl>
    <w:lvl w:ilvl="8" w:tplc="BA48E7EE">
      <w:start w:val="1"/>
      <w:numFmt w:val="bullet"/>
      <w:lvlText w:val="•"/>
      <w:lvlJc w:val="left"/>
      <w:pPr>
        <w:tabs>
          <w:tab w:val="num" w:pos="6480"/>
        </w:tabs>
        <w:ind w:left="6480" w:hanging="360"/>
      </w:pPr>
      <w:rPr>
        <w:rFonts w:ascii="Arial" w:hAnsi="Arial" w:cs="Arial" w:hint="default"/>
      </w:rPr>
    </w:lvl>
  </w:abstractNum>
  <w:abstractNum w:abstractNumId="34">
    <w:nsid w:val="692339F2"/>
    <w:multiLevelType w:val="hybridMultilevel"/>
    <w:tmpl w:val="DA1AC3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6C972452"/>
    <w:multiLevelType w:val="multilevel"/>
    <w:tmpl w:val="2CC0421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31D7ACF"/>
    <w:multiLevelType w:val="hybridMultilevel"/>
    <w:tmpl w:val="2EF27AC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7">
    <w:nsid w:val="7835611D"/>
    <w:multiLevelType w:val="hybridMultilevel"/>
    <w:tmpl w:val="B62419AE"/>
    <w:lvl w:ilvl="0" w:tplc="04090001">
      <w:start w:val="7551"/>
      <w:numFmt w:val="bullet"/>
      <w:lvlText w:val="-"/>
      <w:lvlJc w:val="left"/>
      <w:pPr>
        <w:ind w:left="720" w:hanging="360"/>
      </w:pPr>
      <w:rPr>
        <w:rFonts w:ascii="Calibri" w:eastAsia="SimSu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8">
    <w:nsid w:val="787A275B"/>
    <w:multiLevelType w:val="hybridMultilevel"/>
    <w:tmpl w:val="FD347EBA"/>
    <w:lvl w:ilvl="0" w:tplc="42868BCE">
      <w:start w:val="1"/>
      <w:numFmt w:val="bullet"/>
      <w:lvlText w:val="•"/>
      <w:lvlJc w:val="left"/>
      <w:pPr>
        <w:tabs>
          <w:tab w:val="num" w:pos="720"/>
        </w:tabs>
        <w:ind w:left="720" w:hanging="360"/>
      </w:pPr>
      <w:rPr>
        <w:rFonts w:ascii="Arial" w:hAnsi="Arial" w:cs="Arial" w:hint="default"/>
      </w:rPr>
    </w:lvl>
    <w:lvl w:ilvl="1" w:tplc="F6A6C0A4">
      <w:start w:val="1"/>
      <w:numFmt w:val="bullet"/>
      <w:lvlText w:val="•"/>
      <w:lvlJc w:val="left"/>
      <w:pPr>
        <w:tabs>
          <w:tab w:val="num" w:pos="1440"/>
        </w:tabs>
        <w:ind w:left="1440" w:hanging="360"/>
      </w:pPr>
      <w:rPr>
        <w:rFonts w:ascii="Arial" w:hAnsi="Arial" w:cs="Arial" w:hint="default"/>
      </w:rPr>
    </w:lvl>
    <w:lvl w:ilvl="2" w:tplc="0BDEB6E2">
      <w:start w:val="1"/>
      <w:numFmt w:val="bullet"/>
      <w:lvlText w:val="•"/>
      <w:lvlJc w:val="left"/>
      <w:pPr>
        <w:tabs>
          <w:tab w:val="num" w:pos="2160"/>
        </w:tabs>
        <w:ind w:left="2160" w:hanging="360"/>
      </w:pPr>
      <w:rPr>
        <w:rFonts w:ascii="Arial" w:hAnsi="Arial" w:cs="Arial" w:hint="default"/>
      </w:rPr>
    </w:lvl>
    <w:lvl w:ilvl="3" w:tplc="6BDE8232">
      <w:start w:val="1"/>
      <w:numFmt w:val="bullet"/>
      <w:lvlText w:val="•"/>
      <w:lvlJc w:val="left"/>
      <w:pPr>
        <w:tabs>
          <w:tab w:val="num" w:pos="2880"/>
        </w:tabs>
        <w:ind w:left="2880" w:hanging="360"/>
      </w:pPr>
      <w:rPr>
        <w:rFonts w:ascii="Arial" w:hAnsi="Arial" w:cs="Arial" w:hint="default"/>
      </w:rPr>
    </w:lvl>
    <w:lvl w:ilvl="4" w:tplc="5840F55C">
      <w:start w:val="1"/>
      <w:numFmt w:val="bullet"/>
      <w:lvlText w:val="•"/>
      <w:lvlJc w:val="left"/>
      <w:pPr>
        <w:tabs>
          <w:tab w:val="num" w:pos="3600"/>
        </w:tabs>
        <w:ind w:left="3600" w:hanging="360"/>
      </w:pPr>
      <w:rPr>
        <w:rFonts w:ascii="Arial" w:hAnsi="Arial" w:cs="Arial" w:hint="default"/>
      </w:rPr>
    </w:lvl>
    <w:lvl w:ilvl="5" w:tplc="816EE332">
      <w:start w:val="1"/>
      <w:numFmt w:val="bullet"/>
      <w:lvlText w:val="•"/>
      <w:lvlJc w:val="left"/>
      <w:pPr>
        <w:tabs>
          <w:tab w:val="num" w:pos="4320"/>
        </w:tabs>
        <w:ind w:left="4320" w:hanging="360"/>
      </w:pPr>
      <w:rPr>
        <w:rFonts w:ascii="Arial" w:hAnsi="Arial" w:cs="Arial" w:hint="default"/>
      </w:rPr>
    </w:lvl>
    <w:lvl w:ilvl="6" w:tplc="A20058D8">
      <w:start w:val="1"/>
      <w:numFmt w:val="bullet"/>
      <w:lvlText w:val="•"/>
      <w:lvlJc w:val="left"/>
      <w:pPr>
        <w:tabs>
          <w:tab w:val="num" w:pos="5040"/>
        </w:tabs>
        <w:ind w:left="5040" w:hanging="360"/>
      </w:pPr>
      <w:rPr>
        <w:rFonts w:ascii="Arial" w:hAnsi="Arial" w:cs="Arial" w:hint="default"/>
      </w:rPr>
    </w:lvl>
    <w:lvl w:ilvl="7" w:tplc="E6AC1804">
      <w:start w:val="1"/>
      <w:numFmt w:val="bullet"/>
      <w:lvlText w:val="•"/>
      <w:lvlJc w:val="left"/>
      <w:pPr>
        <w:tabs>
          <w:tab w:val="num" w:pos="5760"/>
        </w:tabs>
        <w:ind w:left="5760" w:hanging="360"/>
      </w:pPr>
      <w:rPr>
        <w:rFonts w:ascii="Arial" w:hAnsi="Arial" w:cs="Arial" w:hint="default"/>
      </w:rPr>
    </w:lvl>
    <w:lvl w:ilvl="8" w:tplc="933C06DA">
      <w:start w:val="1"/>
      <w:numFmt w:val="bullet"/>
      <w:lvlText w:val="•"/>
      <w:lvlJc w:val="left"/>
      <w:pPr>
        <w:tabs>
          <w:tab w:val="num" w:pos="6480"/>
        </w:tabs>
        <w:ind w:left="6480" w:hanging="360"/>
      </w:pPr>
      <w:rPr>
        <w:rFonts w:ascii="Arial" w:hAnsi="Arial" w:cs="Arial" w:hint="default"/>
      </w:rPr>
    </w:lvl>
  </w:abstractNum>
  <w:abstractNum w:abstractNumId="39">
    <w:nsid w:val="7891199B"/>
    <w:multiLevelType w:val="hybridMultilevel"/>
    <w:tmpl w:val="0D9EDDF0"/>
    <w:lvl w:ilvl="0" w:tplc="08090001">
      <w:start w:val="1"/>
      <w:numFmt w:val="bullet"/>
      <w:lvlText w:val=""/>
      <w:lvlJc w:val="left"/>
      <w:pPr>
        <w:ind w:left="-708" w:hanging="360"/>
      </w:pPr>
      <w:rPr>
        <w:rFonts w:ascii="Symbol" w:hAnsi="Symbol" w:cs="Symbol" w:hint="default"/>
      </w:rPr>
    </w:lvl>
    <w:lvl w:ilvl="1" w:tplc="08090003">
      <w:start w:val="1"/>
      <w:numFmt w:val="bullet"/>
      <w:lvlText w:val="o"/>
      <w:lvlJc w:val="left"/>
      <w:pPr>
        <w:ind w:left="12" w:hanging="360"/>
      </w:pPr>
      <w:rPr>
        <w:rFonts w:ascii="Courier New" w:hAnsi="Courier New" w:cs="Courier New" w:hint="default"/>
      </w:rPr>
    </w:lvl>
    <w:lvl w:ilvl="2" w:tplc="08090005">
      <w:start w:val="1"/>
      <w:numFmt w:val="bullet"/>
      <w:lvlText w:val=""/>
      <w:lvlJc w:val="left"/>
      <w:pPr>
        <w:ind w:left="732" w:hanging="360"/>
      </w:pPr>
      <w:rPr>
        <w:rFonts w:ascii="Wingdings" w:hAnsi="Wingdings" w:cs="Wingdings" w:hint="default"/>
      </w:rPr>
    </w:lvl>
    <w:lvl w:ilvl="3" w:tplc="08090001">
      <w:start w:val="1"/>
      <w:numFmt w:val="bullet"/>
      <w:lvlText w:val=""/>
      <w:lvlJc w:val="left"/>
      <w:pPr>
        <w:ind w:left="1452" w:hanging="360"/>
      </w:pPr>
      <w:rPr>
        <w:rFonts w:ascii="Symbol" w:hAnsi="Symbol" w:cs="Symbol" w:hint="default"/>
      </w:rPr>
    </w:lvl>
    <w:lvl w:ilvl="4" w:tplc="08090003">
      <w:start w:val="1"/>
      <w:numFmt w:val="bullet"/>
      <w:lvlText w:val="o"/>
      <w:lvlJc w:val="left"/>
      <w:pPr>
        <w:ind w:left="2172" w:hanging="360"/>
      </w:pPr>
      <w:rPr>
        <w:rFonts w:ascii="Courier New" w:hAnsi="Courier New" w:cs="Courier New" w:hint="default"/>
      </w:rPr>
    </w:lvl>
    <w:lvl w:ilvl="5" w:tplc="08090005">
      <w:start w:val="1"/>
      <w:numFmt w:val="bullet"/>
      <w:lvlText w:val=""/>
      <w:lvlJc w:val="left"/>
      <w:pPr>
        <w:ind w:left="2892" w:hanging="360"/>
      </w:pPr>
      <w:rPr>
        <w:rFonts w:ascii="Wingdings" w:hAnsi="Wingdings" w:cs="Wingdings" w:hint="default"/>
      </w:rPr>
    </w:lvl>
    <w:lvl w:ilvl="6" w:tplc="08090001">
      <w:start w:val="1"/>
      <w:numFmt w:val="bullet"/>
      <w:lvlText w:val=""/>
      <w:lvlJc w:val="left"/>
      <w:pPr>
        <w:ind w:left="3612" w:hanging="360"/>
      </w:pPr>
      <w:rPr>
        <w:rFonts w:ascii="Symbol" w:hAnsi="Symbol" w:cs="Symbol" w:hint="default"/>
      </w:rPr>
    </w:lvl>
    <w:lvl w:ilvl="7" w:tplc="08090003">
      <w:start w:val="1"/>
      <w:numFmt w:val="bullet"/>
      <w:lvlText w:val="o"/>
      <w:lvlJc w:val="left"/>
      <w:pPr>
        <w:ind w:left="4332" w:hanging="360"/>
      </w:pPr>
      <w:rPr>
        <w:rFonts w:ascii="Courier New" w:hAnsi="Courier New" w:cs="Courier New" w:hint="default"/>
      </w:rPr>
    </w:lvl>
    <w:lvl w:ilvl="8" w:tplc="08090005">
      <w:start w:val="1"/>
      <w:numFmt w:val="bullet"/>
      <w:lvlText w:val=""/>
      <w:lvlJc w:val="left"/>
      <w:pPr>
        <w:ind w:left="5052" w:hanging="360"/>
      </w:pPr>
      <w:rPr>
        <w:rFonts w:ascii="Wingdings" w:hAnsi="Wingdings" w:cs="Wingdings" w:hint="default"/>
      </w:rPr>
    </w:lvl>
  </w:abstractNum>
  <w:abstractNum w:abstractNumId="40">
    <w:nsid w:val="78C27BE9"/>
    <w:multiLevelType w:val="hybridMultilevel"/>
    <w:tmpl w:val="CD980094"/>
    <w:lvl w:ilvl="0" w:tplc="08090003">
      <w:start w:val="1"/>
      <w:numFmt w:val="bullet"/>
      <w:lvlText w:val="o"/>
      <w:lvlJc w:val="left"/>
      <w:pPr>
        <w:tabs>
          <w:tab w:val="num" w:pos="1080"/>
        </w:tabs>
        <w:ind w:left="1080" w:hanging="360"/>
      </w:pPr>
      <w:rPr>
        <w:rFonts w:ascii="Courier New" w:hAnsi="Courier New" w:cs="Courier New" w:hint="default"/>
      </w:rPr>
    </w:lvl>
    <w:lvl w:ilvl="1" w:tplc="B2749F9E">
      <w:start w:val="213"/>
      <w:numFmt w:val="bullet"/>
      <w:lvlText w:val="–"/>
      <w:lvlJc w:val="left"/>
      <w:pPr>
        <w:tabs>
          <w:tab w:val="num" w:pos="1800"/>
        </w:tabs>
        <w:ind w:left="1800" w:hanging="360"/>
      </w:pPr>
      <w:rPr>
        <w:rFonts w:ascii="Arial" w:hAnsi="Arial" w:cs="Arial" w:hint="default"/>
      </w:rPr>
    </w:lvl>
    <w:lvl w:ilvl="2" w:tplc="1F3C8462">
      <w:start w:val="213"/>
      <w:numFmt w:val="bullet"/>
      <w:lvlText w:val="•"/>
      <w:lvlJc w:val="left"/>
      <w:pPr>
        <w:tabs>
          <w:tab w:val="num" w:pos="2520"/>
        </w:tabs>
        <w:ind w:left="2520" w:hanging="360"/>
      </w:pPr>
      <w:rPr>
        <w:rFonts w:ascii="Arial" w:hAnsi="Arial" w:cs="Arial" w:hint="default"/>
      </w:rPr>
    </w:lvl>
    <w:lvl w:ilvl="3" w:tplc="3BBCF50A">
      <w:start w:val="1"/>
      <w:numFmt w:val="bullet"/>
      <w:lvlText w:val="•"/>
      <w:lvlJc w:val="left"/>
      <w:pPr>
        <w:tabs>
          <w:tab w:val="num" w:pos="3240"/>
        </w:tabs>
        <w:ind w:left="3240" w:hanging="360"/>
      </w:pPr>
      <w:rPr>
        <w:rFonts w:ascii="Arial" w:hAnsi="Arial" w:cs="Arial" w:hint="default"/>
      </w:rPr>
    </w:lvl>
    <w:lvl w:ilvl="4" w:tplc="184EB5A0">
      <w:start w:val="1"/>
      <w:numFmt w:val="bullet"/>
      <w:lvlText w:val="•"/>
      <w:lvlJc w:val="left"/>
      <w:pPr>
        <w:tabs>
          <w:tab w:val="num" w:pos="3960"/>
        </w:tabs>
        <w:ind w:left="3960" w:hanging="360"/>
      </w:pPr>
      <w:rPr>
        <w:rFonts w:ascii="Arial" w:hAnsi="Arial" w:cs="Arial" w:hint="default"/>
      </w:rPr>
    </w:lvl>
    <w:lvl w:ilvl="5" w:tplc="4860DF86">
      <w:start w:val="1"/>
      <w:numFmt w:val="bullet"/>
      <w:lvlText w:val="•"/>
      <w:lvlJc w:val="left"/>
      <w:pPr>
        <w:tabs>
          <w:tab w:val="num" w:pos="4680"/>
        </w:tabs>
        <w:ind w:left="4680" w:hanging="360"/>
      </w:pPr>
      <w:rPr>
        <w:rFonts w:ascii="Arial" w:hAnsi="Arial" w:cs="Arial" w:hint="default"/>
      </w:rPr>
    </w:lvl>
    <w:lvl w:ilvl="6" w:tplc="C6706064">
      <w:start w:val="1"/>
      <w:numFmt w:val="bullet"/>
      <w:lvlText w:val="•"/>
      <w:lvlJc w:val="left"/>
      <w:pPr>
        <w:tabs>
          <w:tab w:val="num" w:pos="5400"/>
        </w:tabs>
        <w:ind w:left="5400" w:hanging="360"/>
      </w:pPr>
      <w:rPr>
        <w:rFonts w:ascii="Arial" w:hAnsi="Arial" w:cs="Arial" w:hint="default"/>
      </w:rPr>
    </w:lvl>
    <w:lvl w:ilvl="7" w:tplc="41A84CAC">
      <w:start w:val="1"/>
      <w:numFmt w:val="bullet"/>
      <w:lvlText w:val="•"/>
      <w:lvlJc w:val="left"/>
      <w:pPr>
        <w:tabs>
          <w:tab w:val="num" w:pos="6120"/>
        </w:tabs>
        <w:ind w:left="6120" w:hanging="360"/>
      </w:pPr>
      <w:rPr>
        <w:rFonts w:ascii="Arial" w:hAnsi="Arial" w:cs="Arial" w:hint="default"/>
      </w:rPr>
    </w:lvl>
    <w:lvl w:ilvl="8" w:tplc="DBA8542A">
      <w:start w:val="1"/>
      <w:numFmt w:val="bullet"/>
      <w:lvlText w:val="•"/>
      <w:lvlJc w:val="left"/>
      <w:pPr>
        <w:tabs>
          <w:tab w:val="num" w:pos="6840"/>
        </w:tabs>
        <w:ind w:left="6840" w:hanging="360"/>
      </w:pPr>
      <w:rPr>
        <w:rFonts w:ascii="Arial" w:hAnsi="Arial" w:cs="Arial" w:hint="default"/>
      </w:rPr>
    </w:lvl>
  </w:abstractNum>
  <w:abstractNum w:abstractNumId="41">
    <w:nsid w:val="78CB60D6"/>
    <w:multiLevelType w:val="hybridMultilevel"/>
    <w:tmpl w:val="5DB2F11E"/>
    <w:lvl w:ilvl="0" w:tplc="203C1468">
      <w:start w:val="16"/>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2">
    <w:nsid w:val="7A1C5532"/>
    <w:multiLevelType w:val="hybridMultilevel"/>
    <w:tmpl w:val="6C78C0F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3">
    <w:nsid w:val="7B5119C9"/>
    <w:multiLevelType w:val="hybridMultilevel"/>
    <w:tmpl w:val="E29AB90E"/>
    <w:lvl w:ilvl="0" w:tplc="04090001">
      <w:start w:val="7551"/>
      <w:numFmt w:val="bullet"/>
      <w:lvlText w:val="-"/>
      <w:lvlJc w:val="left"/>
      <w:pPr>
        <w:ind w:left="720" w:hanging="360"/>
      </w:pPr>
      <w:rPr>
        <w:rFonts w:ascii="Calibri" w:eastAsia="SimSu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4">
    <w:nsid w:val="7D7D69BA"/>
    <w:multiLevelType w:val="hybridMultilevel"/>
    <w:tmpl w:val="B560C828"/>
    <w:lvl w:ilvl="0" w:tplc="58122D48">
      <w:start w:val="1"/>
      <w:numFmt w:val="bullet"/>
      <w:lvlText w:val="•"/>
      <w:lvlJc w:val="left"/>
      <w:pPr>
        <w:tabs>
          <w:tab w:val="num" w:pos="360"/>
        </w:tabs>
        <w:ind w:left="360" w:hanging="360"/>
      </w:pPr>
      <w:rPr>
        <w:rFonts w:ascii="Arial" w:hAnsi="Arial" w:cs="Arial" w:hint="default"/>
      </w:rPr>
    </w:lvl>
    <w:lvl w:ilvl="1" w:tplc="B2749F9E">
      <w:start w:val="213"/>
      <w:numFmt w:val="bullet"/>
      <w:lvlText w:val="–"/>
      <w:lvlJc w:val="left"/>
      <w:pPr>
        <w:tabs>
          <w:tab w:val="num" w:pos="1080"/>
        </w:tabs>
        <w:ind w:left="1080" w:hanging="360"/>
      </w:pPr>
      <w:rPr>
        <w:rFonts w:ascii="Arial" w:hAnsi="Arial" w:cs="Arial" w:hint="default"/>
      </w:rPr>
    </w:lvl>
    <w:lvl w:ilvl="2" w:tplc="1F3C8462">
      <w:start w:val="213"/>
      <w:numFmt w:val="bullet"/>
      <w:lvlText w:val="•"/>
      <w:lvlJc w:val="left"/>
      <w:pPr>
        <w:tabs>
          <w:tab w:val="num" w:pos="1800"/>
        </w:tabs>
        <w:ind w:left="1800" w:hanging="360"/>
      </w:pPr>
      <w:rPr>
        <w:rFonts w:ascii="Arial" w:hAnsi="Arial" w:cs="Arial" w:hint="default"/>
      </w:rPr>
    </w:lvl>
    <w:lvl w:ilvl="3" w:tplc="3BBCF50A">
      <w:start w:val="1"/>
      <w:numFmt w:val="bullet"/>
      <w:lvlText w:val="•"/>
      <w:lvlJc w:val="left"/>
      <w:pPr>
        <w:tabs>
          <w:tab w:val="num" w:pos="2520"/>
        </w:tabs>
        <w:ind w:left="2520" w:hanging="360"/>
      </w:pPr>
      <w:rPr>
        <w:rFonts w:ascii="Arial" w:hAnsi="Arial" w:cs="Arial" w:hint="default"/>
      </w:rPr>
    </w:lvl>
    <w:lvl w:ilvl="4" w:tplc="184EB5A0">
      <w:start w:val="1"/>
      <w:numFmt w:val="bullet"/>
      <w:lvlText w:val="•"/>
      <w:lvlJc w:val="left"/>
      <w:pPr>
        <w:tabs>
          <w:tab w:val="num" w:pos="3240"/>
        </w:tabs>
        <w:ind w:left="3240" w:hanging="360"/>
      </w:pPr>
      <w:rPr>
        <w:rFonts w:ascii="Arial" w:hAnsi="Arial" w:cs="Arial" w:hint="default"/>
      </w:rPr>
    </w:lvl>
    <w:lvl w:ilvl="5" w:tplc="4860DF86">
      <w:start w:val="1"/>
      <w:numFmt w:val="bullet"/>
      <w:lvlText w:val="•"/>
      <w:lvlJc w:val="left"/>
      <w:pPr>
        <w:tabs>
          <w:tab w:val="num" w:pos="3960"/>
        </w:tabs>
        <w:ind w:left="3960" w:hanging="360"/>
      </w:pPr>
      <w:rPr>
        <w:rFonts w:ascii="Arial" w:hAnsi="Arial" w:cs="Arial" w:hint="default"/>
      </w:rPr>
    </w:lvl>
    <w:lvl w:ilvl="6" w:tplc="C6706064">
      <w:start w:val="1"/>
      <w:numFmt w:val="bullet"/>
      <w:lvlText w:val="•"/>
      <w:lvlJc w:val="left"/>
      <w:pPr>
        <w:tabs>
          <w:tab w:val="num" w:pos="4680"/>
        </w:tabs>
        <w:ind w:left="4680" w:hanging="360"/>
      </w:pPr>
      <w:rPr>
        <w:rFonts w:ascii="Arial" w:hAnsi="Arial" w:cs="Arial" w:hint="default"/>
      </w:rPr>
    </w:lvl>
    <w:lvl w:ilvl="7" w:tplc="41A84CAC">
      <w:start w:val="1"/>
      <w:numFmt w:val="bullet"/>
      <w:lvlText w:val="•"/>
      <w:lvlJc w:val="left"/>
      <w:pPr>
        <w:tabs>
          <w:tab w:val="num" w:pos="5400"/>
        </w:tabs>
        <w:ind w:left="5400" w:hanging="360"/>
      </w:pPr>
      <w:rPr>
        <w:rFonts w:ascii="Arial" w:hAnsi="Arial" w:cs="Arial" w:hint="default"/>
      </w:rPr>
    </w:lvl>
    <w:lvl w:ilvl="8" w:tplc="DBA8542A">
      <w:start w:val="1"/>
      <w:numFmt w:val="bullet"/>
      <w:lvlText w:val="•"/>
      <w:lvlJc w:val="left"/>
      <w:pPr>
        <w:tabs>
          <w:tab w:val="num" w:pos="6120"/>
        </w:tabs>
        <w:ind w:left="6120" w:hanging="360"/>
      </w:pPr>
      <w:rPr>
        <w:rFonts w:ascii="Arial" w:hAnsi="Arial" w:cs="Arial" w:hint="default"/>
      </w:rPr>
    </w:lvl>
  </w:abstractNum>
  <w:num w:numId="1">
    <w:abstractNumId w:val="20"/>
  </w:num>
  <w:num w:numId="2">
    <w:abstractNumId w:val="13"/>
  </w:num>
  <w:num w:numId="3">
    <w:abstractNumId w:val="6"/>
  </w:num>
  <w:num w:numId="4">
    <w:abstractNumId w:val="26"/>
  </w:num>
  <w:num w:numId="5">
    <w:abstractNumId w:val="14"/>
  </w:num>
  <w:num w:numId="6">
    <w:abstractNumId w:val="34"/>
  </w:num>
  <w:num w:numId="7">
    <w:abstractNumId w:val="7"/>
  </w:num>
  <w:num w:numId="8">
    <w:abstractNumId w:val="12"/>
  </w:num>
  <w:num w:numId="9">
    <w:abstractNumId w:val="1"/>
  </w:num>
  <w:num w:numId="10">
    <w:abstractNumId w:val="28"/>
  </w:num>
  <w:num w:numId="11">
    <w:abstractNumId w:val="9"/>
  </w:num>
  <w:num w:numId="12">
    <w:abstractNumId w:val="22"/>
  </w:num>
  <w:num w:numId="13">
    <w:abstractNumId w:val="5"/>
  </w:num>
  <w:num w:numId="14">
    <w:abstractNumId w:val="2"/>
  </w:num>
  <w:num w:numId="15">
    <w:abstractNumId w:val="38"/>
  </w:num>
  <w:num w:numId="16">
    <w:abstractNumId w:val="15"/>
  </w:num>
  <w:num w:numId="17">
    <w:abstractNumId w:val="44"/>
  </w:num>
  <w:num w:numId="18">
    <w:abstractNumId w:val="33"/>
  </w:num>
  <w:num w:numId="19">
    <w:abstractNumId w:val="27"/>
  </w:num>
  <w:num w:numId="20">
    <w:abstractNumId w:val="31"/>
  </w:num>
  <w:num w:numId="21">
    <w:abstractNumId w:val="40"/>
  </w:num>
  <w:num w:numId="22">
    <w:abstractNumId w:val="19"/>
  </w:num>
  <w:num w:numId="23">
    <w:abstractNumId w:val="25"/>
  </w:num>
  <w:num w:numId="24">
    <w:abstractNumId w:val="39"/>
  </w:num>
  <w:num w:numId="25">
    <w:abstractNumId w:val="42"/>
  </w:num>
  <w:num w:numId="26">
    <w:abstractNumId w:val="3"/>
  </w:num>
  <w:num w:numId="27">
    <w:abstractNumId w:val="36"/>
  </w:num>
  <w:num w:numId="28">
    <w:abstractNumId w:val="23"/>
  </w:num>
  <w:num w:numId="29">
    <w:abstractNumId w:val="32"/>
  </w:num>
  <w:num w:numId="30">
    <w:abstractNumId w:val="8"/>
  </w:num>
  <w:num w:numId="31">
    <w:abstractNumId w:val="41"/>
  </w:num>
  <w:num w:numId="32">
    <w:abstractNumId w:val="24"/>
  </w:num>
  <w:num w:numId="33">
    <w:abstractNumId w:val="0"/>
  </w:num>
  <w:num w:numId="34">
    <w:abstractNumId w:val="17"/>
  </w:num>
  <w:num w:numId="35">
    <w:abstractNumId w:val="37"/>
  </w:num>
  <w:num w:numId="36">
    <w:abstractNumId w:val="16"/>
  </w:num>
  <w:num w:numId="37">
    <w:abstractNumId w:val="29"/>
  </w:num>
  <w:num w:numId="38">
    <w:abstractNumId w:val="4"/>
  </w:num>
  <w:num w:numId="39">
    <w:abstractNumId w:val="43"/>
  </w:num>
  <w:num w:numId="40">
    <w:abstractNumId w:val="18"/>
  </w:num>
  <w:num w:numId="41">
    <w:abstractNumId w:val="10"/>
  </w:num>
  <w:num w:numId="42">
    <w:abstractNumId w:val="21"/>
  </w:num>
  <w:num w:numId="43">
    <w:abstractNumId w:val="35"/>
  </w:num>
  <w:num w:numId="44">
    <w:abstractNumId w:val="11"/>
  </w:num>
  <w:num w:numId="45">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Harding">
    <w15:presenceInfo w15:providerId="Windows Live" w15:userId="d518b8d126a4a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grammar="clean"/>
  <w:defaultTabStop w:val="720"/>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EE"/>
    <w:rsid w:val="00003195"/>
    <w:rsid w:val="00004FBB"/>
    <w:rsid w:val="00006250"/>
    <w:rsid w:val="000075A5"/>
    <w:rsid w:val="00010F31"/>
    <w:rsid w:val="00012760"/>
    <w:rsid w:val="00016490"/>
    <w:rsid w:val="00017F41"/>
    <w:rsid w:val="000205CC"/>
    <w:rsid w:val="000253D2"/>
    <w:rsid w:val="000361E7"/>
    <w:rsid w:val="00036C0B"/>
    <w:rsid w:val="000459AA"/>
    <w:rsid w:val="00050713"/>
    <w:rsid w:val="00054544"/>
    <w:rsid w:val="00062978"/>
    <w:rsid w:val="000704D2"/>
    <w:rsid w:val="000713BC"/>
    <w:rsid w:val="00081BD2"/>
    <w:rsid w:val="000820DF"/>
    <w:rsid w:val="000829A3"/>
    <w:rsid w:val="00086C08"/>
    <w:rsid w:val="00090583"/>
    <w:rsid w:val="000933AA"/>
    <w:rsid w:val="00095EC6"/>
    <w:rsid w:val="000A0F56"/>
    <w:rsid w:val="000A41E2"/>
    <w:rsid w:val="000B3871"/>
    <w:rsid w:val="000C2F97"/>
    <w:rsid w:val="000E0C2A"/>
    <w:rsid w:val="000E0DC6"/>
    <w:rsid w:val="000E0DF8"/>
    <w:rsid w:val="000E65B6"/>
    <w:rsid w:val="000F72B1"/>
    <w:rsid w:val="00100100"/>
    <w:rsid w:val="001007A8"/>
    <w:rsid w:val="001018C9"/>
    <w:rsid w:val="00102095"/>
    <w:rsid w:val="00103230"/>
    <w:rsid w:val="00106385"/>
    <w:rsid w:val="00111095"/>
    <w:rsid w:val="0011691F"/>
    <w:rsid w:val="00120F39"/>
    <w:rsid w:val="00132E7D"/>
    <w:rsid w:val="001343FC"/>
    <w:rsid w:val="0014118A"/>
    <w:rsid w:val="00146833"/>
    <w:rsid w:val="00153EEB"/>
    <w:rsid w:val="00175449"/>
    <w:rsid w:val="001823F5"/>
    <w:rsid w:val="00186069"/>
    <w:rsid w:val="001866CA"/>
    <w:rsid w:val="0019049D"/>
    <w:rsid w:val="001B0447"/>
    <w:rsid w:val="001B44F8"/>
    <w:rsid w:val="001C19A2"/>
    <w:rsid w:val="001C4B67"/>
    <w:rsid w:val="001C5343"/>
    <w:rsid w:val="001C568F"/>
    <w:rsid w:val="001C5885"/>
    <w:rsid w:val="001E0787"/>
    <w:rsid w:val="001E3F02"/>
    <w:rsid w:val="001E529B"/>
    <w:rsid w:val="001E650F"/>
    <w:rsid w:val="001F4C85"/>
    <w:rsid w:val="001F72A4"/>
    <w:rsid w:val="00200E8C"/>
    <w:rsid w:val="00201003"/>
    <w:rsid w:val="00202090"/>
    <w:rsid w:val="00203177"/>
    <w:rsid w:val="0020580F"/>
    <w:rsid w:val="002072D7"/>
    <w:rsid w:val="00215240"/>
    <w:rsid w:val="00222115"/>
    <w:rsid w:val="002238E7"/>
    <w:rsid w:val="00225AFC"/>
    <w:rsid w:val="00226346"/>
    <w:rsid w:val="0023159B"/>
    <w:rsid w:val="00236384"/>
    <w:rsid w:val="002436D5"/>
    <w:rsid w:val="00247DE2"/>
    <w:rsid w:val="00247FC4"/>
    <w:rsid w:val="00250284"/>
    <w:rsid w:val="002537B0"/>
    <w:rsid w:val="00253E68"/>
    <w:rsid w:val="00254C31"/>
    <w:rsid w:val="002730AA"/>
    <w:rsid w:val="002747E6"/>
    <w:rsid w:val="00275975"/>
    <w:rsid w:val="00276ED8"/>
    <w:rsid w:val="00281263"/>
    <w:rsid w:val="0028320A"/>
    <w:rsid w:val="00290A12"/>
    <w:rsid w:val="0029104A"/>
    <w:rsid w:val="00292711"/>
    <w:rsid w:val="002A3ADB"/>
    <w:rsid w:val="002A480C"/>
    <w:rsid w:val="002A63D4"/>
    <w:rsid w:val="002B127B"/>
    <w:rsid w:val="002B3E4A"/>
    <w:rsid w:val="002B67CB"/>
    <w:rsid w:val="002D1E12"/>
    <w:rsid w:val="002D222A"/>
    <w:rsid w:val="002D2807"/>
    <w:rsid w:val="002D3469"/>
    <w:rsid w:val="002D488F"/>
    <w:rsid w:val="002D51EC"/>
    <w:rsid w:val="002F4D3C"/>
    <w:rsid w:val="00302625"/>
    <w:rsid w:val="00304AA5"/>
    <w:rsid w:val="0030601D"/>
    <w:rsid w:val="00322424"/>
    <w:rsid w:val="00323D95"/>
    <w:rsid w:val="00330C65"/>
    <w:rsid w:val="003355C3"/>
    <w:rsid w:val="00335727"/>
    <w:rsid w:val="00336C85"/>
    <w:rsid w:val="00342FD4"/>
    <w:rsid w:val="003437F3"/>
    <w:rsid w:val="00344114"/>
    <w:rsid w:val="003479D3"/>
    <w:rsid w:val="00350950"/>
    <w:rsid w:val="00355331"/>
    <w:rsid w:val="00355E58"/>
    <w:rsid w:val="00357AA3"/>
    <w:rsid w:val="0036083E"/>
    <w:rsid w:val="00370000"/>
    <w:rsid w:val="00376249"/>
    <w:rsid w:val="00385BEE"/>
    <w:rsid w:val="00386007"/>
    <w:rsid w:val="00387E87"/>
    <w:rsid w:val="00394A8C"/>
    <w:rsid w:val="00396722"/>
    <w:rsid w:val="003A03D4"/>
    <w:rsid w:val="003A3AD7"/>
    <w:rsid w:val="003A3E1B"/>
    <w:rsid w:val="003A6962"/>
    <w:rsid w:val="003B03A5"/>
    <w:rsid w:val="003B49F3"/>
    <w:rsid w:val="003B4E60"/>
    <w:rsid w:val="003B7F29"/>
    <w:rsid w:val="003C1F67"/>
    <w:rsid w:val="003F53C5"/>
    <w:rsid w:val="00405BC4"/>
    <w:rsid w:val="00406667"/>
    <w:rsid w:val="0041277B"/>
    <w:rsid w:val="004129C5"/>
    <w:rsid w:val="00413DA4"/>
    <w:rsid w:val="0041442B"/>
    <w:rsid w:val="0041532D"/>
    <w:rsid w:val="004314AC"/>
    <w:rsid w:val="0043496F"/>
    <w:rsid w:val="004365CB"/>
    <w:rsid w:val="00437E10"/>
    <w:rsid w:val="004432F4"/>
    <w:rsid w:val="00444D54"/>
    <w:rsid w:val="00446D20"/>
    <w:rsid w:val="004503F8"/>
    <w:rsid w:val="00454F15"/>
    <w:rsid w:val="00457855"/>
    <w:rsid w:val="00457DB3"/>
    <w:rsid w:val="0046036F"/>
    <w:rsid w:val="00482C9B"/>
    <w:rsid w:val="0048637D"/>
    <w:rsid w:val="004942C7"/>
    <w:rsid w:val="004A0A75"/>
    <w:rsid w:val="004A7B20"/>
    <w:rsid w:val="004B17C0"/>
    <w:rsid w:val="004B323E"/>
    <w:rsid w:val="004C0D15"/>
    <w:rsid w:val="004C3144"/>
    <w:rsid w:val="004C3DCA"/>
    <w:rsid w:val="004C45F7"/>
    <w:rsid w:val="004D26AA"/>
    <w:rsid w:val="004E5469"/>
    <w:rsid w:val="004F0497"/>
    <w:rsid w:val="004F3578"/>
    <w:rsid w:val="004F51C2"/>
    <w:rsid w:val="004F6BD3"/>
    <w:rsid w:val="00503F00"/>
    <w:rsid w:val="00504AE4"/>
    <w:rsid w:val="005100BB"/>
    <w:rsid w:val="005101A1"/>
    <w:rsid w:val="00512BDE"/>
    <w:rsid w:val="00514BE8"/>
    <w:rsid w:val="00535D1D"/>
    <w:rsid w:val="005361F0"/>
    <w:rsid w:val="005369CA"/>
    <w:rsid w:val="00544943"/>
    <w:rsid w:val="005568B9"/>
    <w:rsid w:val="00556EF9"/>
    <w:rsid w:val="00560357"/>
    <w:rsid w:val="00562ED4"/>
    <w:rsid w:val="00567175"/>
    <w:rsid w:val="00572667"/>
    <w:rsid w:val="0057750E"/>
    <w:rsid w:val="00584453"/>
    <w:rsid w:val="00585311"/>
    <w:rsid w:val="00591651"/>
    <w:rsid w:val="00595978"/>
    <w:rsid w:val="0059781F"/>
    <w:rsid w:val="005A57DC"/>
    <w:rsid w:val="005B0312"/>
    <w:rsid w:val="005C1479"/>
    <w:rsid w:val="005C1F34"/>
    <w:rsid w:val="005D17C4"/>
    <w:rsid w:val="005D21E9"/>
    <w:rsid w:val="005D3846"/>
    <w:rsid w:val="005D6571"/>
    <w:rsid w:val="005D7566"/>
    <w:rsid w:val="005E0995"/>
    <w:rsid w:val="005E3D76"/>
    <w:rsid w:val="005F2B75"/>
    <w:rsid w:val="00600FD3"/>
    <w:rsid w:val="00601EBC"/>
    <w:rsid w:val="0060738E"/>
    <w:rsid w:val="00620EF4"/>
    <w:rsid w:val="00624DA5"/>
    <w:rsid w:val="0062760C"/>
    <w:rsid w:val="00635E44"/>
    <w:rsid w:val="0065109C"/>
    <w:rsid w:val="006561B6"/>
    <w:rsid w:val="006574AB"/>
    <w:rsid w:val="00664B79"/>
    <w:rsid w:val="00665786"/>
    <w:rsid w:val="0066681D"/>
    <w:rsid w:val="00673F6C"/>
    <w:rsid w:val="006745AA"/>
    <w:rsid w:val="00675687"/>
    <w:rsid w:val="006808A8"/>
    <w:rsid w:val="0069255C"/>
    <w:rsid w:val="00692D91"/>
    <w:rsid w:val="00697E3D"/>
    <w:rsid w:val="006A3CBC"/>
    <w:rsid w:val="006A58E1"/>
    <w:rsid w:val="006B2239"/>
    <w:rsid w:val="006B750A"/>
    <w:rsid w:val="006C4835"/>
    <w:rsid w:val="006C5B39"/>
    <w:rsid w:val="006C5BC5"/>
    <w:rsid w:val="006D03C0"/>
    <w:rsid w:val="006D4863"/>
    <w:rsid w:val="006D5026"/>
    <w:rsid w:val="006D6D37"/>
    <w:rsid w:val="006F161C"/>
    <w:rsid w:val="006F4187"/>
    <w:rsid w:val="006F7940"/>
    <w:rsid w:val="007162D8"/>
    <w:rsid w:val="007176C1"/>
    <w:rsid w:val="00721D4C"/>
    <w:rsid w:val="0073560A"/>
    <w:rsid w:val="00737C20"/>
    <w:rsid w:val="0074218D"/>
    <w:rsid w:val="00742E9F"/>
    <w:rsid w:val="0074359E"/>
    <w:rsid w:val="00745721"/>
    <w:rsid w:val="00747558"/>
    <w:rsid w:val="0077127B"/>
    <w:rsid w:val="0078245E"/>
    <w:rsid w:val="00786665"/>
    <w:rsid w:val="00790192"/>
    <w:rsid w:val="0079623E"/>
    <w:rsid w:val="00797554"/>
    <w:rsid w:val="007A2110"/>
    <w:rsid w:val="007A2FFA"/>
    <w:rsid w:val="007A4A63"/>
    <w:rsid w:val="007A4C84"/>
    <w:rsid w:val="007A5BA4"/>
    <w:rsid w:val="007B3263"/>
    <w:rsid w:val="007C15C0"/>
    <w:rsid w:val="007C2ECA"/>
    <w:rsid w:val="007C386A"/>
    <w:rsid w:val="007C733C"/>
    <w:rsid w:val="007D43AC"/>
    <w:rsid w:val="007E3AD3"/>
    <w:rsid w:val="007E476D"/>
    <w:rsid w:val="007E4F63"/>
    <w:rsid w:val="007E5F07"/>
    <w:rsid w:val="007F2100"/>
    <w:rsid w:val="007F613E"/>
    <w:rsid w:val="008113D8"/>
    <w:rsid w:val="0081175F"/>
    <w:rsid w:val="00820865"/>
    <w:rsid w:val="00821039"/>
    <w:rsid w:val="008265AC"/>
    <w:rsid w:val="00833473"/>
    <w:rsid w:val="0083355A"/>
    <w:rsid w:val="0083582C"/>
    <w:rsid w:val="00837C3D"/>
    <w:rsid w:val="00843030"/>
    <w:rsid w:val="008430F6"/>
    <w:rsid w:val="00846D67"/>
    <w:rsid w:val="0085316F"/>
    <w:rsid w:val="00855E87"/>
    <w:rsid w:val="0085736C"/>
    <w:rsid w:val="0086441C"/>
    <w:rsid w:val="0086509E"/>
    <w:rsid w:val="008817F9"/>
    <w:rsid w:val="008867EB"/>
    <w:rsid w:val="0089031A"/>
    <w:rsid w:val="00892659"/>
    <w:rsid w:val="008933A3"/>
    <w:rsid w:val="00897EFD"/>
    <w:rsid w:val="008B7E28"/>
    <w:rsid w:val="008C73A1"/>
    <w:rsid w:val="008D55E9"/>
    <w:rsid w:val="008E2A81"/>
    <w:rsid w:val="008E60EB"/>
    <w:rsid w:val="008E72BC"/>
    <w:rsid w:val="008F1F45"/>
    <w:rsid w:val="008F1F8A"/>
    <w:rsid w:val="008F24E9"/>
    <w:rsid w:val="008F27A3"/>
    <w:rsid w:val="008F5466"/>
    <w:rsid w:val="00900DAC"/>
    <w:rsid w:val="009018D1"/>
    <w:rsid w:val="00902902"/>
    <w:rsid w:val="009367F4"/>
    <w:rsid w:val="00943889"/>
    <w:rsid w:val="00946EF7"/>
    <w:rsid w:val="00947CD2"/>
    <w:rsid w:val="0095690F"/>
    <w:rsid w:val="009569B7"/>
    <w:rsid w:val="00971009"/>
    <w:rsid w:val="00973576"/>
    <w:rsid w:val="00973FCD"/>
    <w:rsid w:val="00980FEC"/>
    <w:rsid w:val="00984053"/>
    <w:rsid w:val="00985452"/>
    <w:rsid w:val="0098752A"/>
    <w:rsid w:val="009877B4"/>
    <w:rsid w:val="009909CC"/>
    <w:rsid w:val="0099407A"/>
    <w:rsid w:val="0099687E"/>
    <w:rsid w:val="009A2D2B"/>
    <w:rsid w:val="009A7669"/>
    <w:rsid w:val="009B0C69"/>
    <w:rsid w:val="009C1DA0"/>
    <w:rsid w:val="009D0364"/>
    <w:rsid w:val="009D4D0E"/>
    <w:rsid w:val="009E0436"/>
    <w:rsid w:val="009E3B58"/>
    <w:rsid w:val="009E5C6A"/>
    <w:rsid w:val="009E6109"/>
    <w:rsid w:val="009F0713"/>
    <w:rsid w:val="00A042FA"/>
    <w:rsid w:val="00A048A6"/>
    <w:rsid w:val="00A068B6"/>
    <w:rsid w:val="00A07C93"/>
    <w:rsid w:val="00A145E3"/>
    <w:rsid w:val="00A154F5"/>
    <w:rsid w:val="00A20974"/>
    <w:rsid w:val="00A2125C"/>
    <w:rsid w:val="00A270F5"/>
    <w:rsid w:val="00A32F43"/>
    <w:rsid w:val="00A41853"/>
    <w:rsid w:val="00A44841"/>
    <w:rsid w:val="00A50E8B"/>
    <w:rsid w:val="00A5442D"/>
    <w:rsid w:val="00A60A75"/>
    <w:rsid w:val="00A658DB"/>
    <w:rsid w:val="00A66C10"/>
    <w:rsid w:val="00A74438"/>
    <w:rsid w:val="00A75B69"/>
    <w:rsid w:val="00A773AB"/>
    <w:rsid w:val="00A77F9B"/>
    <w:rsid w:val="00A812AA"/>
    <w:rsid w:val="00A8422E"/>
    <w:rsid w:val="00A974D2"/>
    <w:rsid w:val="00AA2A00"/>
    <w:rsid w:val="00AA2E9D"/>
    <w:rsid w:val="00AA5240"/>
    <w:rsid w:val="00AB0B4A"/>
    <w:rsid w:val="00AB6EE2"/>
    <w:rsid w:val="00AC1FEE"/>
    <w:rsid w:val="00AC612E"/>
    <w:rsid w:val="00AC6B48"/>
    <w:rsid w:val="00AC6D6F"/>
    <w:rsid w:val="00AD0F7D"/>
    <w:rsid w:val="00AD1DB7"/>
    <w:rsid w:val="00AD30D6"/>
    <w:rsid w:val="00AE17C1"/>
    <w:rsid w:val="00AE7074"/>
    <w:rsid w:val="00AF4421"/>
    <w:rsid w:val="00AF5869"/>
    <w:rsid w:val="00AF634C"/>
    <w:rsid w:val="00AF63C8"/>
    <w:rsid w:val="00B0579E"/>
    <w:rsid w:val="00B1139B"/>
    <w:rsid w:val="00B12936"/>
    <w:rsid w:val="00B179A3"/>
    <w:rsid w:val="00B26371"/>
    <w:rsid w:val="00B3670A"/>
    <w:rsid w:val="00B36D51"/>
    <w:rsid w:val="00B37445"/>
    <w:rsid w:val="00B52C2E"/>
    <w:rsid w:val="00B53EC0"/>
    <w:rsid w:val="00B53FC4"/>
    <w:rsid w:val="00B57D71"/>
    <w:rsid w:val="00B63EE8"/>
    <w:rsid w:val="00B72189"/>
    <w:rsid w:val="00B805B0"/>
    <w:rsid w:val="00B82FFF"/>
    <w:rsid w:val="00B83842"/>
    <w:rsid w:val="00B85836"/>
    <w:rsid w:val="00B93F2E"/>
    <w:rsid w:val="00B97D1C"/>
    <w:rsid w:val="00BA28D7"/>
    <w:rsid w:val="00BA3366"/>
    <w:rsid w:val="00BA60B9"/>
    <w:rsid w:val="00BA77DC"/>
    <w:rsid w:val="00BB234D"/>
    <w:rsid w:val="00BB7D76"/>
    <w:rsid w:val="00BC280C"/>
    <w:rsid w:val="00BC7FA2"/>
    <w:rsid w:val="00BD4FF6"/>
    <w:rsid w:val="00BE264B"/>
    <w:rsid w:val="00BE2CD5"/>
    <w:rsid w:val="00BE4B35"/>
    <w:rsid w:val="00BF4A2D"/>
    <w:rsid w:val="00BF66EB"/>
    <w:rsid w:val="00C005D6"/>
    <w:rsid w:val="00C0361A"/>
    <w:rsid w:val="00C06EEA"/>
    <w:rsid w:val="00C12785"/>
    <w:rsid w:val="00C1648B"/>
    <w:rsid w:val="00C21960"/>
    <w:rsid w:val="00C22048"/>
    <w:rsid w:val="00C22D28"/>
    <w:rsid w:val="00C23EA3"/>
    <w:rsid w:val="00C37A5A"/>
    <w:rsid w:val="00C41040"/>
    <w:rsid w:val="00C41D95"/>
    <w:rsid w:val="00C4457A"/>
    <w:rsid w:val="00C46469"/>
    <w:rsid w:val="00C50254"/>
    <w:rsid w:val="00C504E8"/>
    <w:rsid w:val="00C51D5C"/>
    <w:rsid w:val="00C6025F"/>
    <w:rsid w:val="00C61894"/>
    <w:rsid w:val="00C65400"/>
    <w:rsid w:val="00C713AB"/>
    <w:rsid w:val="00C82AEF"/>
    <w:rsid w:val="00C87DB4"/>
    <w:rsid w:val="00C971D7"/>
    <w:rsid w:val="00CA1EC5"/>
    <w:rsid w:val="00CA483E"/>
    <w:rsid w:val="00CA7F80"/>
    <w:rsid w:val="00CB4D0E"/>
    <w:rsid w:val="00CB5F68"/>
    <w:rsid w:val="00CC2744"/>
    <w:rsid w:val="00CC3D72"/>
    <w:rsid w:val="00CC76A7"/>
    <w:rsid w:val="00CC7C5F"/>
    <w:rsid w:val="00CD118A"/>
    <w:rsid w:val="00CE24F3"/>
    <w:rsid w:val="00CE3C2D"/>
    <w:rsid w:val="00CF2B98"/>
    <w:rsid w:val="00CF3BCF"/>
    <w:rsid w:val="00CF6F11"/>
    <w:rsid w:val="00CF705B"/>
    <w:rsid w:val="00D341FD"/>
    <w:rsid w:val="00D414D5"/>
    <w:rsid w:val="00D41671"/>
    <w:rsid w:val="00D4220E"/>
    <w:rsid w:val="00D4295A"/>
    <w:rsid w:val="00D455F3"/>
    <w:rsid w:val="00D474A7"/>
    <w:rsid w:val="00D57B89"/>
    <w:rsid w:val="00D77BA8"/>
    <w:rsid w:val="00D80F40"/>
    <w:rsid w:val="00D81463"/>
    <w:rsid w:val="00D8605C"/>
    <w:rsid w:val="00D86C7A"/>
    <w:rsid w:val="00D86CAB"/>
    <w:rsid w:val="00D90D74"/>
    <w:rsid w:val="00D914C5"/>
    <w:rsid w:val="00D9171E"/>
    <w:rsid w:val="00D93B6A"/>
    <w:rsid w:val="00D953DA"/>
    <w:rsid w:val="00DA5206"/>
    <w:rsid w:val="00DA7770"/>
    <w:rsid w:val="00DB3486"/>
    <w:rsid w:val="00DB3B14"/>
    <w:rsid w:val="00DB573A"/>
    <w:rsid w:val="00DC34A3"/>
    <w:rsid w:val="00DC4827"/>
    <w:rsid w:val="00DC6BD8"/>
    <w:rsid w:val="00DD05DD"/>
    <w:rsid w:val="00DD58AD"/>
    <w:rsid w:val="00DD619A"/>
    <w:rsid w:val="00DD71E0"/>
    <w:rsid w:val="00DE1E3C"/>
    <w:rsid w:val="00DF2F09"/>
    <w:rsid w:val="00E06F6D"/>
    <w:rsid w:val="00E07A23"/>
    <w:rsid w:val="00E132EC"/>
    <w:rsid w:val="00E138AB"/>
    <w:rsid w:val="00E16244"/>
    <w:rsid w:val="00E50DD7"/>
    <w:rsid w:val="00E537A6"/>
    <w:rsid w:val="00E565CF"/>
    <w:rsid w:val="00E6047E"/>
    <w:rsid w:val="00E64CAF"/>
    <w:rsid w:val="00E66391"/>
    <w:rsid w:val="00E71C67"/>
    <w:rsid w:val="00E8312B"/>
    <w:rsid w:val="00E84662"/>
    <w:rsid w:val="00E93429"/>
    <w:rsid w:val="00EA4FE7"/>
    <w:rsid w:val="00EA7FD9"/>
    <w:rsid w:val="00EB0372"/>
    <w:rsid w:val="00EB603C"/>
    <w:rsid w:val="00EC07AC"/>
    <w:rsid w:val="00EC7A81"/>
    <w:rsid w:val="00ED21E2"/>
    <w:rsid w:val="00ED5D33"/>
    <w:rsid w:val="00EE3AC1"/>
    <w:rsid w:val="00EE5736"/>
    <w:rsid w:val="00EF05D9"/>
    <w:rsid w:val="00EF2CE6"/>
    <w:rsid w:val="00EF57F4"/>
    <w:rsid w:val="00F01C76"/>
    <w:rsid w:val="00F030D3"/>
    <w:rsid w:val="00F06780"/>
    <w:rsid w:val="00F1171C"/>
    <w:rsid w:val="00F20A3F"/>
    <w:rsid w:val="00F20E41"/>
    <w:rsid w:val="00F31407"/>
    <w:rsid w:val="00F3254E"/>
    <w:rsid w:val="00F3760D"/>
    <w:rsid w:val="00F55A68"/>
    <w:rsid w:val="00F56CF9"/>
    <w:rsid w:val="00F64EE9"/>
    <w:rsid w:val="00F70B6F"/>
    <w:rsid w:val="00F74BD3"/>
    <w:rsid w:val="00F83440"/>
    <w:rsid w:val="00F844B5"/>
    <w:rsid w:val="00F85A0D"/>
    <w:rsid w:val="00FA16A8"/>
    <w:rsid w:val="00FB57E1"/>
    <w:rsid w:val="00FB5A65"/>
    <w:rsid w:val="00FC0803"/>
    <w:rsid w:val="00FC453E"/>
    <w:rsid w:val="00FD15EE"/>
    <w:rsid w:val="00FD25AC"/>
    <w:rsid w:val="00FD5561"/>
    <w:rsid w:val="00FD66B1"/>
    <w:rsid w:val="00FE473A"/>
    <w:rsid w:val="00FE5645"/>
    <w:rsid w:val="00FF5270"/>
    <w:rsid w:val="00FF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BA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AB"/>
    <w:pPr>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03D4"/>
    <w:pPr>
      <w:ind w:left="720"/>
    </w:pPr>
  </w:style>
  <w:style w:type="paragraph" w:styleId="BalloonText">
    <w:name w:val="Balloon Text"/>
    <w:basedOn w:val="Normal"/>
    <w:link w:val="BalloonTextChar"/>
    <w:uiPriority w:val="99"/>
    <w:semiHidden/>
    <w:rsid w:val="003A03D4"/>
    <w:rPr>
      <w:rFonts w:ascii="Segoe UI" w:hAnsi="Segoe UI" w:cs="Segoe UI"/>
      <w:sz w:val="18"/>
      <w:szCs w:val="18"/>
      <w:lang w:val="en-US" w:eastAsia="hr-HR"/>
    </w:rPr>
  </w:style>
  <w:style w:type="character" w:customStyle="1" w:styleId="BalloonTextChar">
    <w:name w:val="Balloon Text Char"/>
    <w:basedOn w:val="DefaultParagraphFont"/>
    <w:link w:val="BalloonText"/>
    <w:uiPriority w:val="99"/>
    <w:semiHidden/>
    <w:locked/>
    <w:rsid w:val="003A03D4"/>
    <w:rPr>
      <w:rFonts w:ascii="Segoe UI" w:hAnsi="Segoe UI" w:cs="Segoe UI"/>
      <w:sz w:val="18"/>
      <w:szCs w:val="18"/>
    </w:rPr>
  </w:style>
  <w:style w:type="table" w:styleId="TableGrid">
    <w:name w:val="Table Grid"/>
    <w:basedOn w:val="TableNormal"/>
    <w:uiPriority w:val="99"/>
    <w:rsid w:val="00BE4B35"/>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63C8"/>
    <w:pPr>
      <w:tabs>
        <w:tab w:val="center" w:pos="4513"/>
        <w:tab w:val="right" w:pos="9026"/>
      </w:tabs>
    </w:pPr>
  </w:style>
  <w:style w:type="character" w:customStyle="1" w:styleId="HeaderChar">
    <w:name w:val="Header Char"/>
    <w:basedOn w:val="DefaultParagraphFont"/>
    <w:link w:val="Header"/>
    <w:uiPriority w:val="99"/>
    <w:locked/>
    <w:rsid w:val="00AF63C8"/>
  </w:style>
  <w:style w:type="paragraph" w:styleId="Footer">
    <w:name w:val="footer"/>
    <w:basedOn w:val="Normal"/>
    <w:link w:val="FooterChar"/>
    <w:uiPriority w:val="99"/>
    <w:rsid w:val="00AF63C8"/>
    <w:pPr>
      <w:tabs>
        <w:tab w:val="center" w:pos="4513"/>
        <w:tab w:val="right" w:pos="9026"/>
      </w:tabs>
    </w:pPr>
  </w:style>
  <w:style w:type="character" w:customStyle="1" w:styleId="FooterChar">
    <w:name w:val="Footer Char"/>
    <w:basedOn w:val="DefaultParagraphFont"/>
    <w:link w:val="Footer"/>
    <w:uiPriority w:val="99"/>
    <w:locked/>
    <w:rsid w:val="00AF63C8"/>
  </w:style>
  <w:style w:type="paragraph" w:customStyle="1" w:styleId="CM1">
    <w:name w:val="CM1"/>
    <w:basedOn w:val="Normal"/>
    <w:next w:val="Normal"/>
    <w:uiPriority w:val="99"/>
    <w:rsid w:val="006B750A"/>
    <w:pPr>
      <w:autoSpaceDE w:val="0"/>
      <w:autoSpaceDN w:val="0"/>
      <w:adjustRightInd w:val="0"/>
      <w:jc w:val="left"/>
    </w:pPr>
    <w:rPr>
      <w:rFonts w:ascii="EUAlbertina" w:hAnsi="EUAlbertina" w:cs="EUAlbertina"/>
      <w:sz w:val="24"/>
      <w:szCs w:val="24"/>
    </w:rPr>
  </w:style>
  <w:style w:type="paragraph" w:customStyle="1" w:styleId="CM3">
    <w:name w:val="CM3"/>
    <w:basedOn w:val="Normal"/>
    <w:next w:val="Normal"/>
    <w:uiPriority w:val="99"/>
    <w:rsid w:val="006B750A"/>
    <w:pPr>
      <w:autoSpaceDE w:val="0"/>
      <w:autoSpaceDN w:val="0"/>
      <w:adjustRightInd w:val="0"/>
      <w:jc w:val="left"/>
    </w:pPr>
    <w:rPr>
      <w:rFonts w:ascii="EUAlbertina" w:hAnsi="EUAlbertina" w:cs="EUAlbertina"/>
      <w:sz w:val="24"/>
      <w:szCs w:val="24"/>
    </w:rPr>
  </w:style>
  <w:style w:type="paragraph" w:customStyle="1" w:styleId="CM4">
    <w:name w:val="CM4"/>
    <w:basedOn w:val="Normal"/>
    <w:next w:val="Normal"/>
    <w:uiPriority w:val="99"/>
    <w:rsid w:val="006B750A"/>
    <w:pPr>
      <w:autoSpaceDE w:val="0"/>
      <w:autoSpaceDN w:val="0"/>
      <w:adjustRightInd w:val="0"/>
      <w:jc w:val="left"/>
    </w:pPr>
    <w:rPr>
      <w:rFonts w:ascii="EUAlbertina" w:hAnsi="EUAlbertina" w:cs="EUAlbertina"/>
      <w:sz w:val="24"/>
      <w:szCs w:val="24"/>
    </w:rPr>
  </w:style>
  <w:style w:type="paragraph" w:styleId="FootnoteText">
    <w:name w:val="footnote text"/>
    <w:basedOn w:val="Normal"/>
    <w:link w:val="FootnoteTextChar"/>
    <w:uiPriority w:val="99"/>
    <w:semiHidden/>
    <w:rsid w:val="00504AE4"/>
    <w:rPr>
      <w:sz w:val="20"/>
      <w:szCs w:val="20"/>
      <w:lang w:val="en-US" w:eastAsia="hr-HR"/>
    </w:rPr>
  </w:style>
  <w:style w:type="character" w:customStyle="1" w:styleId="FootnoteTextChar">
    <w:name w:val="Footnote Text Char"/>
    <w:basedOn w:val="DefaultParagraphFont"/>
    <w:link w:val="FootnoteText"/>
    <w:uiPriority w:val="99"/>
    <w:semiHidden/>
    <w:locked/>
    <w:rsid w:val="00504AE4"/>
    <w:rPr>
      <w:sz w:val="20"/>
      <w:szCs w:val="20"/>
    </w:rPr>
  </w:style>
  <w:style w:type="character" w:styleId="FootnoteReference">
    <w:name w:val="footnote reference"/>
    <w:basedOn w:val="DefaultParagraphFont"/>
    <w:uiPriority w:val="99"/>
    <w:semiHidden/>
    <w:rsid w:val="00504AE4"/>
    <w:rPr>
      <w:vertAlign w:val="superscript"/>
    </w:rPr>
  </w:style>
  <w:style w:type="table" w:customStyle="1" w:styleId="TableGrid1">
    <w:name w:val="Table Grid1"/>
    <w:uiPriority w:val="99"/>
    <w:rsid w:val="00504A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CA483E"/>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47CD2"/>
    <w:rPr>
      <w:sz w:val="16"/>
      <w:szCs w:val="16"/>
    </w:rPr>
  </w:style>
  <w:style w:type="paragraph" w:styleId="CommentText">
    <w:name w:val="annotation text"/>
    <w:basedOn w:val="Normal"/>
    <w:link w:val="CommentTextChar"/>
    <w:uiPriority w:val="99"/>
    <w:semiHidden/>
    <w:rsid w:val="00947CD2"/>
    <w:rPr>
      <w:sz w:val="20"/>
      <w:szCs w:val="20"/>
      <w:lang w:val="en-US" w:eastAsia="hr-HR"/>
    </w:rPr>
  </w:style>
  <w:style w:type="character" w:customStyle="1" w:styleId="CommentTextChar">
    <w:name w:val="Comment Text Char"/>
    <w:basedOn w:val="DefaultParagraphFont"/>
    <w:link w:val="CommentText"/>
    <w:uiPriority w:val="99"/>
    <w:semiHidden/>
    <w:locked/>
    <w:rsid w:val="00947CD2"/>
    <w:rPr>
      <w:sz w:val="20"/>
      <w:szCs w:val="20"/>
    </w:rPr>
  </w:style>
  <w:style w:type="paragraph" w:styleId="CommentSubject">
    <w:name w:val="annotation subject"/>
    <w:basedOn w:val="CommentText"/>
    <w:next w:val="CommentText"/>
    <w:link w:val="CommentSubjectChar"/>
    <w:uiPriority w:val="99"/>
    <w:semiHidden/>
    <w:rsid w:val="00947CD2"/>
    <w:rPr>
      <w:b/>
      <w:bCs/>
    </w:rPr>
  </w:style>
  <w:style w:type="character" w:customStyle="1" w:styleId="CommentSubjectChar">
    <w:name w:val="Comment Subject Char"/>
    <w:basedOn w:val="CommentTextChar"/>
    <w:link w:val="CommentSubject"/>
    <w:uiPriority w:val="99"/>
    <w:semiHidden/>
    <w:locked/>
    <w:rsid w:val="00947CD2"/>
    <w:rPr>
      <w:b/>
      <w:bCs/>
      <w:sz w:val="20"/>
      <w:szCs w:val="20"/>
    </w:rPr>
  </w:style>
  <w:style w:type="paragraph" w:customStyle="1" w:styleId="14-Heading1">
    <w:name w:val="1.4 - Heading 1"/>
    <w:basedOn w:val="Normal"/>
    <w:link w:val="14-Heading1Char"/>
    <w:uiPriority w:val="99"/>
    <w:rsid w:val="00AB0B4A"/>
    <w:rPr>
      <w:rFonts w:ascii="Calibri" w:hAnsi="Calibri" w:cs="Calibri"/>
      <w:b/>
      <w:bCs/>
      <w:sz w:val="28"/>
      <w:szCs w:val="28"/>
      <w:lang w:val="en-US" w:eastAsia="hr-HR"/>
    </w:rPr>
  </w:style>
  <w:style w:type="paragraph" w:customStyle="1" w:styleId="14-Heading2">
    <w:name w:val="1.4 - Heading 2"/>
    <w:basedOn w:val="Normal"/>
    <w:link w:val="14-Heading2Char"/>
    <w:uiPriority w:val="99"/>
    <w:rsid w:val="00AB0B4A"/>
    <w:rPr>
      <w:rFonts w:ascii="Calibri" w:hAnsi="Calibri" w:cs="Calibri"/>
      <w:b/>
      <w:bCs/>
      <w:sz w:val="20"/>
      <w:szCs w:val="20"/>
      <w:lang w:val="en-US" w:eastAsia="hr-HR"/>
    </w:rPr>
  </w:style>
  <w:style w:type="character" w:customStyle="1" w:styleId="14-Heading1Char">
    <w:name w:val="1.4 - Heading 1 Char"/>
    <w:link w:val="14-Heading1"/>
    <w:uiPriority w:val="99"/>
    <w:locked/>
    <w:rsid w:val="00AB0B4A"/>
    <w:rPr>
      <w:rFonts w:ascii="Calibri" w:hAnsi="Calibri" w:cs="Calibri"/>
      <w:b/>
      <w:bCs/>
      <w:sz w:val="28"/>
      <w:szCs w:val="28"/>
    </w:rPr>
  </w:style>
  <w:style w:type="paragraph" w:styleId="TOC1">
    <w:name w:val="toc 1"/>
    <w:basedOn w:val="Normal"/>
    <w:next w:val="Normal"/>
    <w:autoRedefine/>
    <w:uiPriority w:val="99"/>
    <w:semiHidden/>
    <w:rsid w:val="00C06EEA"/>
    <w:pPr>
      <w:spacing w:after="100"/>
    </w:pPr>
  </w:style>
  <w:style w:type="character" w:customStyle="1" w:styleId="14-Heading2Char">
    <w:name w:val="1.4 - Heading 2 Char"/>
    <w:link w:val="14-Heading2"/>
    <w:uiPriority w:val="99"/>
    <w:locked/>
    <w:rsid w:val="00AB0B4A"/>
    <w:rPr>
      <w:rFonts w:ascii="Calibri" w:hAnsi="Calibri" w:cs="Calibri"/>
      <w:b/>
      <w:bCs/>
    </w:rPr>
  </w:style>
  <w:style w:type="paragraph" w:styleId="TOC2">
    <w:name w:val="toc 2"/>
    <w:basedOn w:val="Normal"/>
    <w:next w:val="Normal"/>
    <w:autoRedefine/>
    <w:uiPriority w:val="99"/>
    <w:semiHidden/>
    <w:rsid w:val="00C06EEA"/>
    <w:pPr>
      <w:spacing w:after="100"/>
      <w:ind w:left="220"/>
    </w:pPr>
  </w:style>
  <w:style w:type="character" w:styleId="Hyperlink">
    <w:name w:val="Hyperlink"/>
    <w:basedOn w:val="DefaultParagraphFont"/>
    <w:uiPriority w:val="99"/>
    <w:rsid w:val="00C06EE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AB"/>
    <w:pPr>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03D4"/>
    <w:pPr>
      <w:ind w:left="720"/>
    </w:pPr>
  </w:style>
  <w:style w:type="paragraph" w:styleId="BalloonText">
    <w:name w:val="Balloon Text"/>
    <w:basedOn w:val="Normal"/>
    <w:link w:val="BalloonTextChar"/>
    <w:uiPriority w:val="99"/>
    <w:semiHidden/>
    <w:rsid w:val="003A03D4"/>
    <w:rPr>
      <w:rFonts w:ascii="Segoe UI" w:hAnsi="Segoe UI" w:cs="Segoe UI"/>
      <w:sz w:val="18"/>
      <w:szCs w:val="18"/>
      <w:lang w:val="en-US" w:eastAsia="hr-HR"/>
    </w:rPr>
  </w:style>
  <w:style w:type="character" w:customStyle="1" w:styleId="BalloonTextChar">
    <w:name w:val="Balloon Text Char"/>
    <w:basedOn w:val="DefaultParagraphFont"/>
    <w:link w:val="BalloonText"/>
    <w:uiPriority w:val="99"/>
    <w:semiHidden/>
    <w:locked/>
    <w:rsid w:val="003A03D4"/>
    <w:rPr>
      <w:rFonts w:ascii="Segoe UI" w:hAnsi="Segoe UI" w:cs="Segoe UI"/>
      <w:sz w:val="18"/>
      <w:szCs w:val="18"/>
    </w:rPr>
  </w:style>
  <w:style w:type="table" w:styleId="TableGrid">
    <w:name w:val="Table Grid"/>
    <w:basedOn w:val="TableNormal"/>
    <w:uiPriority w:val="99"/>
    <w:rsid w:val="00BE4B35"/>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63C8"/>
    <w:pPr>
      <w:tabs>
        <w:tab w:val="center" w:pos="4513"/>
        <w:tab w:val="right" w:pos="9026"/>
      </w:tabs>
    </w:pPr>
  </w:style>
  <w:style w:type="character" w:customStyle="1" w:styleId="HeaderChar">
    <w:name w:val="Header Char"/>
    <w:basedOn w:val="DefaultParagraphFont"/>
    <w:link w:val="Header"/>
    <w:uiPriority w:val="99"/>
    <w:locked/>
    <w:rsid w:val="00AF63C8"/>
  </w:style>
  <w:style w:type="paragraph" w:styleId="Footer">
    <w:name w:val="footer"/>
    <w:basedOn w:val="Normal"/>
    <w:link w:val="FooterChar"/>
    <w:uiPriority w:val="99"/>
    <w:rsid w:val="00AF63C8"/>
    <w:pPr>
      <w:tabs>
        <w:tab w:val="center" w:pos="4513"/>
        <w:tab w:val="right" w:pos="9026"/>
      </w:tabs>
    </w:pPr>
  </w:style>
  <w:style w:type="character" w:customStyle="1" w:styleId="FooterChar">
    <w:name w:val="Footer Char"/>
    <w:basedOn w:val="DefaultParagraphFont"/>
    <w:link w:val="Footer"/>
    <w:uiPriority w:val="99"/>
    <w:locked/>
    <w:rsid w:val="00AF63C8"/>
  </w:style>
  <w:style w:type="paragraph" w:customStyle="1" w:styleId="CM1">
    <w:name w:val="CM1"/>
    <w:basedOn w:val="Normal"/>
    <w:next w:val="Normal"/>
    <w:uiPriority w:val="99"/>
    <w:rsid w:val="006B750A"/>
    <w:pPr>
      <w:autoSpaceDE w:val="0"/>
      <w:autoSpaceDN w:val="0"/>
      <w:adjustRightInd w:val="0"/>
      <w:jc w:val="left"/>
    </w:pPr>
    <w:rPr>
      <w:rFonts w:ascii="EUAlbertina" w:hAnsi="EUAlbertina" w:cs="EUAlbertina"/>
      <w:sz w:val="24"/>
      <w:szCs w:val="24"/>
    </w:rPr>
  </w:style>
  <w:style w:type="paragraph" w:customStyle="1" w:styleId="CM3">
    <w:name w:val="CM3"/>
    <w:basedOn w:val="Normal"/>
    <w:next w:val="Normal"/>
    <w:uiPriority w:val="99"/>
    <w:rsid w:val="006B750A"/>
    <w:pPr>
      <w:autoSpaceDE w:val="0"/>
      <w:autoSpaceDN w:val="0"/>
      <w:adjustRightInd w:val="0"/>
      <w:jc w:val="left"/>
    </w:pPr>
    <w:rPr>
      <w:rFonts w:ascii="EUAlbertina" w:hAnsi="EUAlbertina" w:cs="EUAlbertina"/>
      <w:sz w:val="24"/>
      <w:szCs w:val="24"/>
    </w:rPr>
  </w:style>
  <w:style w:type="paragraph" w:customStyle="1" w:styleId="CM4">
    <w:name w:val="CM4"/>
    <w:basedOn w:val="Normal"/>
    <w:next w:val="Normal"/>
    <w:uiPriority w:val="99"/>
    <w:rsid w:val="006B750A"/>
    <w:pPr>
      <w:autoSpaceDE w:val="0"/>
      <w:autoSpaceDN w:val="0"/>
      <w:adjustRightInd w:val="0"/>
      <w:jc w:val="left"/>
    </w:pPr>
    <w:rPr>
      <w:rFonts w:ascii="EUAlbertina" w:hAnsi="EUAlbertina" w:cs="EUAlbertina"/>
      <w:sz w:val="24"/>
      <w:szCs w:val="24"/>
    </w:rPr>
  </w:style>
  <w:style w:type="paragraph" w:styleId="FootnoteText">
    <w:name w:val="footnote text"/>
    <w:basedOn w:val="Normal"/>
    <w:link w:val="FootnoteTextChar"/>
    <w:uiPriority w:val="99"/>
    <w:semiHidden/>
    <w:rsid w:val="00504AE4"/>
    <w:rPr>
      <w:sz w:val="20"/>
      <w:szCs w:val="20"/>
      <w:lang w:val="en-US" w:eastAsia="hr-HR"/>
    </w:rPr>
  </w:style>
  <w:style w:type="character" w:customStyle="1" w:styleId="FootnoteTextChar">
    <w:name w:val="Footnote Text Char"/>
    <w:basedOn w:val="DefaultParagraphFont"/>
    <w:link w:val="FootnoteText"/>
    <w:uiPriority w:val="99"/>
    <w:semiHidden/>
    <w:locked/>
    <w:rsid w:val="00504AE4"/>
    <w:rPr>
      <w:sz w:val="20"/>
      <w:szCs w:val="20"/>
    </w:rPr>
  </w:style>
  <w:style w:type="character" w:styleId="FootnoteReference">
    <w:name w:val="footnote reference"/>
    <w:basedOn w:val="DefaultParagraphFont"/>
    <w:uiPriority w:val="99"/>
    <w:semiHidden/>
    <w:rsid w:val="00504AE4"/>
    <w:rPr>
      <w:vertAlign w:val="superscript"/>
    </w:rPr>
  </w:style>
  <w:style w:type="table" w:customStyle="1" w:styleId="TableGrid1">
    <w:name w:val="Table Grid1"/>
    <w:uiPriority w:val="99"/>
    <w:rsid w:val="00504A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CA483E"/>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47CD2"/>
    <w:rPr>
      <w:sz w:val="16"/>
      <w:szCs w:val="16"/>
    </w:rPr>
  </w:style>
  <w:style w:type="paragraph" w:styleId="CommentText">
    <w:name w:val="annotation text"/>
    <w:basedOn w:val="Normal"/>
    <w:link w:val="CommentTextChar"/>
    <w:uiPriority w:val="99"/>
    <w:semiHidden/>
    <w:rsid w:val="00947CD2"/>
    <w:rPr>
      <w:sz w:val="20"/>
      <w:szCs w:val="20"/>
      <w:lang w:val="en-US" w:eastAsia="hr-HR"/>
    </w:rPr>
  </w:style>
  <w:style w:type="character" w:customStyle="1" w:styleId="CommentTextChar">
    <w:name w:val="Comment Text Char"/>
    <w:basedOn w:val="DefaultParagraphFont"/>
    <w:link w:val="CommentText"/>
    <w:uiPriority w:val="99"/>
    <w:semiHidden/>
    <w:locked/>
    <w:rsid w:val="00947CD2"/>
    <w:rPr>
      <w:sz w:val="20"/>
      <w:szCs w:val="20"/>
    </w:rPr>
  </w:style>
  <w:style w:type="paragraph" w:styleId="CommentSubject">
    <w:name w:val="annotation subject"/>
    <w:basedOn w:val="CommentText"/>
    <w:next w:val="CommentText"/>
    <w:link w:val="CommentSubjectChar"/>
    <w:uiPriority w:val="99"/>
    <w:semiHidden/>
    <w:rsid w:val="00947CD2"/>
    <w:rPr>
      <w:b/>
      <w:bCs/>
    </w:rPr>
  </w:style>
  <w:style w:type="character" w:customStyle="1" w:styleId="CommentSubjectChar">
    <w:name w:val="Comment Subject Char"/>
    <w:basedOn w:val="CommentTextChar"/>
    <w:link w:val="CommentSubject"/>
    <w:uiPriority w:val="99"/>
    <w:semiHidden/>
    <w:locked/>
    <w:rsid w:val="00947CD2"/>
    <w:rPr>
      <w:b/>
      <w:bCs/>
      <w:sz w:val="20"/>
      <w:szCs w:val="20"/>
    </w:rPr>
  </w:style>
  <w:style w:type="paragraph" w:customStyle="1" w:styleId="14-Heading1">
    <w:name w:val="1.4 - Heading 1"/>
    <w:basedOn w:val="Normal"/>
    <w:link w:val="14-Heading1Char"/>
    <w:uiPriority w:val="99"/>
    <w:rsid w:val="00AB0B4A"/>
    <w:rPr>
      <w:rFonts w:ascii="Calibri" w:hAnsi="Calibri" w:cs="Calibri"/>
      <w:b/>
      <w:bCs/>
      <w:sz w:val="28"/>
      <w:szCs w:val="28"/>
      <w:lang w:val="en-US" w:eastAsia="hr-HR"/>
    </w:rPr>
  </w:style>
  <w:style w:type="paragraph" w:customStyle="1" w:styleId="14-Heading2">
    <w:name w:val="1.4 - Heading 2"/>
    <w:basedOn w:val="Normal"/>
    <w:link w:val="14-Heading2Char"/>
    <w:uiPriority w:val="99"/>
    <w:rsid w:val="00AB0B4A"/>
    <w:rPr>
      <w:rFonts w:ascii="Calibri" w:hAnsi="Calibri" w:cs="Calibri"/>
      <w:b/>
      <w:bCs/>
      <w:sz w:val="20"/>
      <w:szCs w:val="20"/>
      <w:lang w:val="en-US" w:eastAsia="hr-HR"/>
    </w:rPr>
  </w:style>
  <w:style w:type="character" w:customStyle="1" w:styleId="14-Heading1Char">
    <w:name w:val="1.4 - Heading 1 Char"/>
    <w:link w:val="14-Heading1"/>
    <w:uiPriority w:val="99"/>
    <w:locked/>
    <w:rsid w:val="00AB0B4A"/>
    <w:rPr>
      <w:rFonts w:ascii="Calibri" w:hAnsi="Calibri" w:cs="Calibri"/>
      <w:b/>
      <w:bCs/>
      <w:sz w:val="28"/>
      <w:szCs w:val="28"/>
    </w:rPr>
  </w:style>
  <w:style w:type="paragraph" w:styleId="TOC1">
    <w:name w:val="toc 1"/>
    <w:basedOn w:val="Normal"/>
    <w:next w:val="Normal"/>
    <w:autoRedefine/>
    <w:uiPriority w:val="99"/>
    <w:semiHidden/>
    <w:rsid w:val="00C06EEA"/>
    <w:pPr>
      <w:spacing w:after="100"/>
    </w:pPr>
  </w:style>
  <w:style w:type="character" w:customStyle="1" w:styleId="14-Heading2Char">
    <w:name w:val="1.4 - Heading 2 Char"/>
    <w:link w:val="14-Heading2"/>
    <w:uiPriority w:val="99"/>
    <w:locked/>
    <w:rsid w:val="00AB0B4A"/>
    <w:rPr>
      <w:rFonts w:ascii="Calibri" w:hAnsi="Calibri" w:cs="Calibri"/>
      <w:b/>
      <w:bCs/>
    </w:rPr>
  </w:style>
  <w:style w:type="paragraph" w:styleId="TOC2">
    <w:name w:val="toc 2"/>
    <w:basedOn w:val="Normal"/>
    <w:next w:val="Normal"/>
    <w:autoRedefine/>
    <w:uiPriority w:val="99"/>
    <w:semiHidden/>
    <w:rsid w:val="00C06EEA"/>
    <w:pPr>
      <w:spacing w:after="100"/>
      <w:ind w:left="220"/>
    </w:pPr>
  </w:style>
  <w:style w:type="character" w:styleId="Hyperlink">
    <w:name w:val="Hyperlink"/>
    <w:basedOn w:val="DefaultParagraphFont"/>
    <w:uiPriority w:val="99"/>
    <w:rsid w:val="00C06E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77934">
      <w:marLeft w:val="0"/>
      <w:marRight w:val="0"/>
      <w:marTop w:val="0"/>
      <w:marBottom w:val="0"/>
      <w:divBdr>
        <w:top w:val="none" w:sz="0" w:space="0" w:color="auto"/>
        <w:left w:val="none" w:sz="0" w:space="0" w:color="auto"/>
        <w:bottom w:val="none" w:sz="0" w:space="0" w:color="auto"/>
        <w:right w:val="none" w:sz="0" w:space="0" w:color="auto"/>
      </w:divBdr>
      <w:divsChild>
        <w:div w:id="509177932">
          <w:marLeft w:val="547"/>
          <w:marRight w:val="0"/>
          <w:marTop w:val="720"/>
          <w:marBottom w:val="0"/>
          <w:divBdr>
            <w:top w:val="none" w:sz="0" w:space="0" w:color="auto"/>
            <w:left w:val="none" w:sz="0" w:space="0" w:color="auto"/>
            <w:bottom w:val="none" w:sz="0" w:space="0" w:color="auto"/>
            <w:right w:val="none" w:sz="0" w:space="0" w:color="auto"/>
          </w:divBdr>
        </w:div>
        <w:div w:id="509177945">
          <w:marLeft w:val="547"/>
          <w:marRight w:val="0"/>
          <w:marTop w:val="720"/>
          <w:marBottom w:val="0"/>
          <w:divBdr>
            <w:top w:val="none" w:sz="0" w:space="0" w:color="auto"/>
            <w:left w:val="none" w:sz="0" w:space="0" w:color="auto"/>
            <w:bottom w:val="none" w:sz="0" w:space="0" w:color="auto"/>
            <w:right w:val="none" w:sz="0" w:space="0" w:color="auto"/>
          </w:divBdr>
        </w:div>
        <w:div w:id="509177948">
          <w:marLeft w:val="547"/>
          <w:marRight w:val="0"/>
          <w:marTop w:val="720"/>
          <w:marBottom w:val="0"/>
          <w:divBdr>
            <w:top w:val="none" w:sz="0" w:space="0" w:color="auto"/>
            <w:left w:val="none" w:sz="0" w:space="0" w:color="auto"/>
            <w:bottom w:val="none" w:sz="0" w:space="0" w:color="auto"/>
            <w:right w:val="none" w:sz="0" w:space="0" w:color="auto"/>
          </w:divBdr>
        </w:div>
      </w:divsChild>
    </w:div>
    <w:div w:id="509177938">
      <w:marLeft w:val="0"/>
      <w:marRight w:val="0"/>
      <w:marTop w:val="0"/>
      <w:marBottom w:val="0"/>
      <w:divBdr>
        <w:top w:val="none" w:sz="0" w:space="0" w:color="auto"/>
        <w:left w:val="none" w:sz="0" w:space="0" w:color="auto"/>
        <w:bottom w:val="none" w:sz="0" w:space="0" w:color="auto"/>
        <w:right w:val="none" w:sz="0" w:space="0" w:color="auto"/>
      </w:divBdr>
      <w:divsChild>
        <w:div w:id="509177933">
          <w:marLeft w:val="547"/>
          <w:marRight w:val="0"/>
          <w:marTop w:val="125"/>
          <w:marBottom w:val="0"/>
          <w:divBdr>
            <w:top w:val="none" w:sz="0" w:space="0" w:color="auto"/>
            <w:left w:val="none" w:sz="0" w:space="0" w:color="auto"/>
            <w:bottom w:val="none" w:sz="0" w:space="0" w:color="auto"/>
            <w:right w:val="none" w:sz="0" w:space="0" w:color="auto"/>
          </w:divBdr>
        </w:div>
        <w:div w:id="509177949">
          <w:marLeft w:val="547"/>
          <w:marRight w:val="0"/>
          <w:marTop w:val="125"/>
          <w:marBottom w:val="0"/>
          <w:divBdr>
            <w:top w:val="none" w:sz="0" w:space="0" w:color="auto"/>
            <w:left w:val="none" w:sz="0" w:space="0" w:color="auto"/>
            <w:bottom w:val="none" w:sz="0" w:space="0" w:color="auto"/>
            <w:right w:val="none" w:sz="0" w:space="0" w:color="auto"/>
          </w:divBdr>
        </w:div>
        <w:div w:id="509177976">
          <w:marLeft w:val="547"/>
          <w:marRight w:val="0"/>
          <w:marTop w:val="125"/>
          <w:marBottom w:val="0"/>
          <w:divBdr>
            <w:top w:val="none" w:sz="0" w:space="0" w:color="auto"/>
            <w:left w:val="none" w:sz="0" w:space="0" w:color="auto"/>
            <w:bottom w:val="none" w:sz="0" w:space="0" w:color="auto"/>
            <w:right w:val="none" w:sz="0" w:space="0" w:color="auto"/>
          </w:divBdr>
        </w:div>
      </w:divsChild>
    </w:div>
    <w:div w:id="509177939">
      <w:marLeft w:val="0"/>
      <w:marRight w:val="0"/>
      <w:marTop w:val="0"/>
      <w:marBottom w:val="0"/>
      <w:divBdr>
        <w:top w:val="none" w:sz="0" w:space="0" w:color="auto"/>
        <w:left w:val="none" w:sz="0" w:space="0" w:color="auto"/>
        <w:bottom w:val="none" w:sz="0" w:space="0" w:color="auto"/>
        <w:right w:val="none" w:sz="0" w:space="0" w:color="auto"/>
      </w:divBdr>
      <w:divsChild>
        <w:div w:id="509177936">
          <w:marLeft w:val="547"/>
          <w:marRight w:val="0"/>
          <w:marTop w:val="480"/>
          <w:marBottom w:val="0"/>
          <w:divBdr>
            <w:top w:val="none" w:sz="0" w:space="0" w:color="auto"/>
            <w:left w:val="none" w:sz="0" w:space="0" w:color="auto"/>
            <w:bottom w:val="none" w:sz="0" w:space="0" w:color="auto"/>
            <w:right w:val="none" w:sz="0" w:space="0" w:color="auto"/>
          </w:divBdr>
        </w:div>
        <w:div w:id="509177937">
          <w:marLeft w:val="547"/>
          <w:marRight w:val="0"/>
          <w:marTop w:val="480"/>
          <w:marBottom w:val="0"/>
          <w:divBdr>
            <w:top w:val="none" w:sz="0" w:space="0" w:color="auto"/>
            <w:left w:val="none" w:sz="0" w:space="0" w:color="auto"/>
            <w:bottom w:val="none" w:sz="0" w:space="0" w:color="auto"/>
            <w:right w:val="none" w:sz="0" w:space="0" w:color="auto"/>
          </w:divBdr>
        </w:div>
        <w:div w:id="509177943">
          <w:marLeft w:val="547"/>
          <w:marRight w:val="0"/>
          <w:marTop w:val="480"/>
          <w:marBottom w:val="0"/>
          <w:divBdr>
            <w:top w:val="none" w:sz="0" w:space="0" w:color="auto"/>
            <w:left w:val="none" w:sz="0" w:space="0" w:color="auto"/>
            <w:bottom w:val="none" w:sz="0" w:space="0" w:color="auto"/>
            <w:right w:val="none" w:sz="0" w:space="0" w:color="auto"/>
          </w:divBdr>
        </w:div>
        <w:div w:id="509177956">
          <w:marLeft w:val="547"/>
          <w:marRight w:val="0"/>
          <w:marTop w:val="480"/>
          <w:marBottom w:val="0"/>
          <w:divBdr>
            <w:top w:val="none" w:sz="0" w:space="0" w:color="auto"/>
            <w:left w:val="none" w:sz="0" w:space="0" w:color="auto"/>
            <w:bottom w:val="none" w:sz="0" w:space="0" w:color="auto"/>
            <w:right w:val="none" w:sz="0" w:space="0" w:color="auto"/>
          </w:divBdr>
        </w:div>
        <w:div w:id="509177965">
          <w:marLeft w:val="547"/>
          <w:marRight w:val="0"/>
          <w:marTop w:val="480"/>
          <w:marBottom w:val="0"/>
          <w:divBdr>
            <w:top w:val="none" w:sz="0" w:space="0" w:color="auto"/>
            <w:left w:val="none" w:sz="0" w:space="0" w:color="auto"/>
            <w:bottom w:val="none" w:sz="0" w:space="0" w:color="auto"/>
            <w:right w:val="none" w:sz="0" w:space="0" w:color="auto"/>
          </w:divBdr>
        </w:div>
        <w:div w:id="509177969">
          <w:marLeft w:val="547"/>
          <w:marRight w:val="0"/>
          <w:marTop w:val="480"/>
          <w:marBottom w:val="0"/>
          <w:divBdr>
            <w:top w:val="none" w:sz="0" w:space="0" w:color="auto"/>
            <w:left w:val="none" w:sz="0" w:space="0" w:color="auto"/>
            <w:bottom w:val="none" w:sz="0" w:space="0" w:color="auto"/>
            <w:right w:val="none" w:sz="0" w:space="0" w:color="auto"/>
          </w:divBdr>
        </w:div>
      </w:divsChild>
    </w:div>
    <w:div w:id="509177953">
      <w:marLeft w:val="0"/>
      <w:marRight w:val="0"/>
      <w:marTop w:val="0"/>
      <w:marBottom w:val="0"/>
      <w:divBdr>
        <w:top w:val="none" w:sz="0" w:space="0" w:color="auto"/>
        <w:left w:val="none" w:sz="0" w:space="0" w:color="auto"/>
        <w:bottom w:val="none" w:sz="0" w:space="0" w:color="auto"/>
        <w:right w:val="none" w:sz="0" w:space="0" w:color="auto"/>
      </w:divBdr>
      <w:divsChild>
        <w:div w:id="509177962">
          <w:marLeft w:val="547"/>
          <w:marRight w:val="0"/>
          <w:marTop w:val="360"/>
          <w:marBottom w:val="0"/>
          <w:divBdr>
            <w:top w:val="none" w:sz="0" w:space="0" w:color="auto"/>
            <w:left w:val="none" w:sz="0" w:space="0" w:color="auto"/>
            <w:bottom w:val="none" w:sz="0" w:space="0" w:color="auto"/>
            <w:right w:val="none" w:sz="0" w:space="0" w:color="auto"/>
          </w:divBdr>
        </w:div>
        <w:div w:id="509177967">
          <w:marLeft w:val="547"/>
          <w:marRight w:val="0"/>
          <w:marTop w:val="360"/>
          <w:marBottom w:val="0"/>
          <w:divBdr>
            <w:top w:val="none" w:sz="0" w:space="0" w:color="auto"/>
            <w:left w:val="none" w:sz="0" w:space="0" w:color="auto"/>
            <w:bottom w:val="none" w:sz="0" w:space="0" w:color="auto"/>
            <w:right w:val="none" w:sz="0" w:space="0" w:color="auto"/>
          </w:divBdr>
        </w:div>
        <w:div w:id="509177971">
          <w:marLeft w:val="547"/>
          <w:marRight w:val="0"/>
          <w:marTop w:val="360"/>
          <w:marBottom w:val="0"/>
          <w:divBdr>
            <w:top w:val="none" w:sz="0" w:space="0" w:color="auto"/>
            <w:left w:val="none" w:sz="0" w:space="0" w:color="auto"/>
            <w:bottom w:val="none" w:sz="0" w:space="0" w:color="auto"/>
            <w:right w:val="none" w:sz="0" w:space="0" w:color="auto"/>
          </w:divBdr>
        </w:div>
        <w:div w:id="509177980">
          <w:marLeft w:val="547"/>
          <w:marRight w:val="0"/>
          <w:marTop w:val="360"/>
          <w:marBottom w:val="0"/>
          <w:divBdr>
            <w:top w:val="none" w:sz="0" w:space="0" w:color="auto"/>
            <w:left w:val="none" w:sz="0" w:space="0" w:color="auto"/>
            <w:bottom w:val="none" w:sz="0" w:space="0" w:color="auto"/>
            <w:right w:val="none" w:sz="0" w:space="0" w:color="auto"/>
          </w:divBdr>
        </w:div>
      </w:divsChild>
    </w:div>
    <w:div w:id="509177957">
      <w:marLeft w:val="0"/>
      <w:marRight w:val="0"/>
      <w:marTop w:val="0"/>
      <w:marBottom w:val="0"/>
      <w:divBdr>
        <w:top w:val="none" w:sz="0" w:space="0" w:color="auto"/>
        <w:left w:val="none" w:sz="0" w:space="0" w:color="auto"/>
        <w:bottom w:val="none" w:sz="0" w:space="0" w:color="auto"/>
        <w:right w:val="none" w:sz="0" w:space="0" w:color="auto"/>
      </w:divBdr>
      <w:divsChild>
        <w:div w:id="509177931">
          <w:marLeft w:val="1166"/>
          <w:marRight w:val="0"/>
          <w:marTop w:val="120"/>
          <w:marBottom w:val="0"/>
          <w:divBdr>
            <w:top w:val="none" w:sz="0" w:space="0" w:color="auto"/>
            <w:left w:val="none" w:sz="0" w:space="0" w:color="auto"/>
            <w:bottom w:val="none" w:sz="0" w:space="0" w:color="auto"/>
            <w:right w:val="none" w:sz="0" w:space="0" w:color="auto"/>
          </w:divBdr>
        </w:div>
        <w:div w:id="509177935">
          <w:marLeft w:val="1166"/>
          <w:marRight w:val="0"/>
          <w:marTop w:val="96"/>
          <w:marBottom w:val="0"/>
          <w:divBdr>
            <w:top w:val="none" w:sz="0" w:space="0" w:color="auto"/>
            <w:left w:val="none" w:sz="0" w:space="0" w:color="auto"/>
            <w:bottom w:val="none" w:sz="0" w:space="0" w:color="auto"/>
            <w:right w:val="none" w:sz="0" w:space="0" w:color="auto"/>
          </w:divBdr>
        </w:div>
        <w:div w:id="509177940">
          <w:marLeft w:val="1166"/>
          <w:marRight w:val="0"/>
          <w:marTop w:val="96"/>
          <w:marBottom w:val="0"/>
          <w:divBdr>
            <w:top w:val="none" w:sz="0" w:space="0" w:color="auto"/>
            <w:left w:val="none" w:sz="0" w:space="0" w:color="auto"/>
            <w:bottom w:val="none" w:sz="0" w:space="0" w:color="auto"/>
            <w:right w:val="none" w:sz="0" w:space="0" w:color="auto"/>
          </w:divBdr>
        </w:div>
        <w:div w:id="509177946">
          <w:marLeft w:val="1166"/>
          <w:marRight w:val="0"/>
          <w:marTop w:val="96"/>
          <w:marBottom w:val="0"/>
          <w:divBdr>
            <w:top w:val="none" w:sz="0" w:space="0" w:color="auto"/>
            <w:left w:val="none" w:sz="0" w:space="0" w:color="auto"/>
            <w:bottom w:val="none" w:sz="0" w:space="0" w:color="auto"/>
            <w:right w:val="none" w:sz="0" w:space="0" w:color="auto"/>
          </w:divBdr>
        </w:div>
        <w:div w:id="509177947">
          <w:marLeft w:val="1166"/>
          <w:marRight w:val="0"/>
          <w:marTop w:val="120"/>
          <w:marBottom w:val="0"/>
          <w:divBdr>
            <w:top w:val="none" w:sz="0" w:space="0" w:color="auto"/>
            <w:left w:val="none" w:sz="0" w:space="0" w:color="auto"/>
            <w:bottom w:val="none" w:sz="0" w:space="0" w:color="auto"/>
            <w:right w:val="none" w:sz="0" w:space="0" w:color="auto"/>
          </w:divBdr>
        </w:div>
        <w:div w:id="509177955">
          <w:marLeft w:val="1166"/>
          <w:marRight w:val="0"/>
          <w:marTop w:val="96"/>
          <w:marBottom w:val="0"/>
          <w:divBdr>
            <w:top w:val="none" w:sz="0" w:space="0" w:color="auto"/>
            <w:left w:val="none" w:sz="0" w:space="0" w:color="auto"/>
            <w:bottom w:val="none" w:sz="0" w:space="0" w:color="auto"/>
            <w:right w:val="none" w:sz="0" w:space="0" w:color="auto"/>
          </w:divBdr>
        </w:div>
        <w:div w:id="509177959">
          <w:marLeft w:val="547"/>
          <w:marRight w:val="0"/>
          <w:marTop w:val="106"/>
          <w:marBottom w:val="0"/>
          <w:divBdr>
            <w:top w:val="none" w:sz="0" w:space="0" w:color="auto"/>
            <w:left w:val="none" w:sz="0" w:space="0" w:color="auto"/>
            <w:bottom w:val="none" w:sz="0" w:space="0" w:color="auto"/>
            <w:right w:val="none" w:sz="0" w:space="0" w:color="auto"/>
          </w:divBdr>
        </w:div>
        <w:div w:id="509177960">
          <w:marLeft w:val="547"/>
          <w:marRight w:val="0"/>
          <w:marTop w:val="360"/>
          <w:marBottom w:val="0"/>
          <w:divBdr>
            <w:top w:val="none" w:sz="0" w:space="0" w:color="auto"/>
            <w:left w:val="none" w:sz="0" w:space="0" w:color="auto"/>
            <w:bottom w:val="none" w:sz="0" w:space="0" w:color="auto"/>
            <w:right w:val="none" w:sz="0" w:space="0" w:color="auto"/>
          </w:divBdr>
        </w:div>
        <w:div w:id="509177972">
          <w:marLeft w:val="547"/>
          <w:marRight w:val="0"/>
          <w:marTop w:val="106"/>
          <w:marBottom w:val="0"/>
          <w:divBdr>
            <w:top w:val="none" w:sz="0" w:space="0" w:color="auto"/>
            <w:left w:val="none" w:sz="0" w:space="0" w:color="auto"/>
            <w:bottom w:val="none" w:sz="0" w:space="0" w:color="auto"/>
            <w:right w:val="none" w:sz="0" w:space="0" w:color="auto"/>
          </w:divBdr>
        </w:div>
      </w:divsChild>
    </w:div>
    <w:div w:id="509177964">
      <w:marLeft w:val="0"/>
      <w:marRight w:val="0"/>
      <w:marTop w:val="0"/>
      <w:marBottom w:val="0"/>
      <w:divBdr>
        <w:top w:val="none" w:sz="0" w:space="0" w:color="auto"/>
        <w:left w:val="none" w:sz="0" w:space="0" w:color="auto"/>
        <w:bottom w:val="none" w:sz="0" w:space="0" w:color="auto"/>
        <w:right w:val="none" w:sz="0" w:space="0" w:color="auto"/>
      </w:divBdr>
      <w:divsChild>
        <w:div w:id="509177930">
          <w:marLeft w:val="547"/>
          <w:marRight w:val="0"/>
          <w:marTop w:val="91"/>
          <w:marBottom w:val="0"/>
          <w:divBdr>
            <w:top w:val="none" w:sz="0" w:space="0" w:color="auto"/>
            <w:left w:val="none" w:sz="0" w:space="0" w:color="auto"/>
            <w:bottom w:val="none" w:sz="0" w:space="0" w:color="auto"/>
            <w:right w:val="none" w:sz="0" w:space="0" w:color="auto"/>
          </w:divBdr>
        </w:div>
        <w:div w:id="509177951">
          <w:marLeft w:val="547"/>
          <w:marRight w:val="0"/>
          <w:marTop w:val="91"/>
          <w:marBottom w:val="0"/>
          <w:divBdr>
            <w:top w:val="none" w:sz="0" w:space="0" w:color="auto"/>
            <w:left w:val="none" w:sz="0" w:space="0" w:color="auto"/>
            <w:bottom w:val="none" w:sz="0" w:space="0" w:color="auto"/>
            <w:right w:val="none" w:sz="0" w:space="0" w:color="auto"/>
          </w:divBdr>
        </w:div>
        <w:div w:id="509177954">
          <w:marLeft w:val="547"/>
          <w:marRight w:val="0"/>
          <w:marTop w:val="91"/>
          <w:marBottom w:val="0"/>
          <w:divBdr>
            <w:top w:val="none" w:sz="0" w:space="0" w:color="auto"/>
            <w:left w:val="none" w:sz="0" w:space="0" w:color="auto"/>
            <w:bottom w:val="none" w:sz="0" w:space="0" w:color="auto"/>
            <w:right w:val="none" w:sz="0" w:space="0" w:color="auto"/>
          </w:divBdr>
        </w:div>
        <w:div w:id="509177968">
          <w:marLeft w:val="547"/>
          <w:marRight w:val="0"/>
          <w:marTop w:val="91"/>
          <w:marBottom w:val="0"/>
          <w:divBdr>
            <w:top w:val="none" w:sz="0" w:space="0" w:color="auto"/>
            <w:left w:val="none" w:sz="0" w:space="0" w:color="auto"/>
            <w:bottom w:val="none" w:sz="0" w:space="0" w:color="auto"/>
            <w:right w:val="none" w:sz="0" w:space="0" w:color="auto"/>
          </w:divBdr>
        </w:div>
        <w:div w:id="509177978">
          <w:marLeft w:val="547"/>
          <w:marRight w:val="0"/>
          <w:marTop w:val="91"/>
          <w:marBottom w:val="0"/>
          <w:divBdr>
            <w:top w:val="none" w:sz="0" w:space="0" w:color="auto"/>
            <w:left w:val="none" w:sz="0" w:space="0" w:color="auto"/>
            <w:bottom w:val="none" w:sz="0" w:space="0" w:color="auto"/>
            <w:right w:val="none" w:sz="0" w:space="0" w:color="auto"/>
          </w:divBdr>
        </w:div>
      </w:divsChild>
    </w:div>
    <w:div w:id="509177966">
      <w:marLeft w:val="0"/>
      <w:marRight w:val="0"/>
      <w:marTop w:val="0"/>
      <w:marBottom w:val="0"/>
      <w:divBdr>
        <w:top w:val="none" w:sz="0" w:space="0" w:color="auto"/>
        <w:left w:val="none" w:sz="0" w:space="0" w:color="auto"/>
        <w:bottom w:val="none" w:sz="0" w:space="0" w:color="auto"/>
        <w:right w:val="none" w:sz="0" w:space="0" w:color="auto"/>
      </w:divBdr>
      <w:divsChild>
        <w:div w:id="509177941">
          <w:marLeft w:val="547"/>
          <w:marRight w:val="0"/>
          <w:marTop w:val="360"/>
          <w:marBottom w:val="0"/>
          <w:divBdr>
            <w:top w:val="none" w:sz="0" w:space="0" w:color="auto"/>
            <w:left w:val="none" w:sz="0" w:space="0" w:color="auto"/>
            <w:bottom w:val="none" w:sz="0" w:space="0" w:color="auto"/>
            <w:right w:val="none" w:sz="0" w:space="0" w:color="auto"/>
          </w:divBdr>
        </w:div>
        <w:div w:id="509177942">
          <w:marLeft w:val="547"/>
          <w:marRight w:val="0"/>
          <w:marTop w:val="360"/>
          <w:marBottom w:val="0"/>
          <w:divBdr>
            <w:top w:val="none" w:sz="0" w:space="0" w:color="auto"/>
            <w:left w:val="none" w:sz="0" w:space="0" w:color="auto"/>
            <w:bottom w:val="none" w:sz="0" w:space="0" w:color="auto"/>
            <w:right w:val="none" w:sz="0" w:space="0" w:color="auto"/>
          </w:divBdr>
        </w:div>
        <w:div w:id="509177944">
          <w:marLeft w:val="547"/>
          <w:marRight w:val="0"/>
          <w:marTop w:val="360"/>
          <w:marBottom w:val="0"/>
          <w:divBdr>
            <w:top w:val="none" w:sz="0" w:space="0" w:color="auto"/>
            <w:left w:val="none" w:sz="0" w:space="0" w:color="auto"/>
            <w:bottom w:val="none" w:sz="0" w:space="0" w:color="auto"/>
            <w:right w:val="none" w:sz="0" w:space="0" w:color="auto"/>
          </w:divBdr>
        </w:div>
        <w:div w:id="509177958">
          <w:marLeft w:val="1166"/>
          <w:marRight w:val="0"/>
          <w:marTop w:val="120"/>
          <w:marBottom w:val="0"/>
          <w:divBdr>
            <w:top w:val="none" w:sz="0" w:space="0" w:color="auto"/>
            <w:left w:val="none" w:sz="0" w:space="0" w:color="auto"/>
            <w:bottom w:val="none" w:sz="0" w:space="0" w:color="auto"/>
            <w:right w:val="none" w:sz="0" w:space="0" w:color="auto"/>
          </w:divBdr>
        </w:div>
        <w:div w:id="509177961">
          <w:marLeft w:val="547"/>
          <w:marRight w:val="0"/>
          <w:marTop w:val="360"/>
          <w:marBottom w:val="0"/>
          <w:divBdr>
            <w:top w:val="none" w:sz="0" w:space="0" w:color="auto"/>
            <w:left w:val="none" w:sz="0" w:space="0" w:color="auto"/>
            <w:bottom w:val="none" w:sz="0" w:space="0" w:color="auto"/>
            <w:right w:val="none" w:sz="0" w:space="0" w:color="auto"/>
          </w:divBdr>
        </w:div>
        <w:div w:id="509177963">
          <w:marLeft w:val="547"/>
          <w:marRight w:val="0"/>
          <w:marTop w:val="360"/>
          <w:marBottom w:val="0"/>
          <w:divBdr>
            <w:top w:val="none" w:sz="0" w:space="0" w:color="auto"/>
            <w:left w:val="none" w:sz="0" w:space="0" w:color="auto"/>
            <w:bottom w:val="none" w:sz="0" w:space="0" w:color="auto"/>
            <w:right w:val="none" w:sz="0" w:space="0" w:color="auto"/>
          </w:divBdr>
        </w:div>
        <w:div w:id="509177973">
          <w:marLeft w:val="547"/>
          <w:marRight w:val="0"/>
          <w:marTop w:val="360"/>
          <w:marBottom w:val="0"/>
          <w:divBdr>
            <w:top w:val="none" w:sz="0" w:space="0" w:color="auto"/>
            <w:left w:val="none" w:sz="0" w:space="0" w:color="auto"/>
            <w:bottom w:val="none" w:sz="0" w:space="0" w:color="auto"/>
            <w:right w:val="none" w:sz="0" w:space="0" w:color="auto"/>
          </w:divBdr>
        </w:div>
      </w:divsChild>
    </w:div>
    <w:div w:id="509177970">
      <w:marLeft w:val="0"/>
      <w:marRight w:val="0"/>
      <w:marTop w:val="0"/>
      <w:marBottom w:val="0"/>
      <w:divBdr>
        <w:top w:val="none" w:sz="0" w:space="0" w:color="auto"/>
        <w:left w:val="none" w:sz="0" w:space="0" w:color="auto"/>
        <w:bottom w:val="none" w:sz="0" w:space="0" w:color="auto"/>
        <w:right w:val="none" w:sz="0" w:space="0" w:color="auto"/>
      </w:divBdr>
      <w:divsChild>
        <w:div w:id="509177950">
          <w:marLeft w:val="547"/>
          <w:marRight w:val="0"/>
          <w:marTop w:val="240"/>
          <w:marBottom w:val="0"/>
          <w:divBdr>
            <w:top w:val="none" w:sz="0" w:space="0" w:color="auto"/>
            <w:left w:val="none" w:sz="0" w:space="0" w:color="auto"/>
            <w:bottom w:val="none" w:sz="0" w:space="0" w:color="auto"/>
            <w:right w:val="none" w:sz="0" w:space="0" w:color="auto"/>
          </w:divBdr>
        </w:div>
        <w:div w:id="509177974">
          <w:marLeft w:val="547"/>
          <w:marRight w:val="0"/>
          <w:marTop w:val="240"/>
          <w:marBottom w:val="0"/>
          <w:divBdr>
            <w:top w:val="none" w:sz="0" w:space="0" w:color="auto"/>
            <w:left w:val="none" w:sz="0" w:space="0" w:color="auto"/>
            <w:bottom w:val="none" w:sz="0" w:space="0" w:color="auto"/>
            <w:right w:val="none" w:sz="0" w:space="0" w:color="auto"/>
          </w:divBdr>
        </w:div>
        <w:div w:id="509177977">
          <w:marLeft w:val="547"/>
          <w:marRight w:val="0"/>
          <w:marTop w:val="240"/>
          <w:marBottom w:val="0"/>
          <w:divBdr>
            <w:top w:val="none" w:sz="0" w:space="0" w:color="auto"/>
            <w:left w:val="none" w:sz="0" w:space="0" w:color="auto"/>
            <w:bottom w:val="none" w:sz="0" w:space="0" w:color="auto"/>
            <w:right w:val="none" w:sz="0" w:space="0" w:color="auto"/>
          </w:divBdr>
        </w:div>
      </w:divsChild>
    </w:div>
    <w:div w:id="509177975">
      <w:marLeft w:val="0"/>
      <w:marRight w:val="0"/>
      <w:marTop w:val="0"/>
      <w:marBottom w:val="0"/>
      <w:divBdr>
        <w:top w:val="none" w:sz="0" w:space="0" w:color="auto"/>
        <w:left w:val="none" w:sz="0" w:space="0" w:color="auto"/>
        <w:bottom w:val="none" w:sz="0" w:space="0" w:color="auto"/>
        <w:right w:val="none" w:sz="0" w:space="0" w:color="auto"/>
      </w:divBdr>
      <w:divsChild>
        <w:div w:id="509177952">
          <w:marLeft w:val="1166"/>
          <w:marRight w:val="0"/>
          <w:marTop w:val="106"/>
          <w:marBottom w:val="0"/>
          <w:divBdr>
            <w:top w:val="none" w:sz="0" w:space="0" w:color="auto"/>
            <w:left w:val="none" w:sz="0" w:space="0" w:color="auto"/>
            <w:bottom w:val="none" w:sz="0" w:space="0" w:color="auto"/>
            <w:right w:val="none" w:sz="0" w:space="0" w:color="auto"/>
          </w:divBdr>
        </w:div>
      </w:divsChild>
    </w:div>
    <w:div w:id="509177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ef.co.uk/" TargetMode="External"/><Relationship Id="rId18" Type="http://schemas.openxmlformats.org/officeDocument/2006/relationships/footer" Target="footer1.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europa.eu/rapid/press-release_BEI-11-99_en.htm" TargetMode="External"/><Relationship Id="rId17" Type="http://schemas.openxmlformats.org/officeDocument/2006/relationships/hyperlink" Target="http://ec.europa.eu/regional_policy/what/future/pdf/preparation/262709_ia_3_draft_standard_terms_conditions_financial_instruments.pdf" TargetMode="External"/><Relationship Id="rId2" Type="http://schemas.openxmlformats.org/officeDocument/2006/relationships/styles" Target="styles.xml"/><Relationship Id="rId16" Type="http://schemas.openxmlformats.org/officeDocument/2006/relationships/hyperlink" Target="http://www.eib.org/about/press/2013/2013-136-further-support-from-eib-for-energy-efficient-housing-renovation-in-lithuania.htm.%20N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eidl.eu/en/projects/urban-development/rejuvenating-an-ageing-city.html"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gional_policy/sources/docgener/studies/hhpdf/50_projects/urban_dev_erdf50.pdf" TargetMode="External"/><Relationship Id="rId7" Type="http://schemas.openxmlformats.org/officeDocument/2006/relationships/hyperlink" Target="http://bookshop.europa.eu/en/ex-post-evaluation-of-the-cohesion-fund-including-former-ispa--pbKN3113917/downloads/KN-31-13-917-EN-N/KN3113917ENN_002.pdf;pgid=y8dIS7GUWMdSR0EAlMEUUsWb0000UZQdZKTr;sid=ZBSScGdDIbGSfTTRjo4M1wVmY8eUo2CQYsc=?FileName=KN3113917ENN_002.pdf&amp;SKU=KN3113917ENN_PDF&amp;CatalogueNumber=KN-31-13-917-EN-N" TargetMode="External"/><Relationship Id="rId2" Type="http://schemas.openxmlformats.org/officeDocument/2006/relationships/hyperlink" Target="http://www.eprc.strath.ac.uk/iqnet/downloads/IQ-Net_Reports(Public)/ThematicPaper29(2)Final.pdf" TargetMode="External"/><Relationship Id="rId1" Type="http://schemas.openxmlformats.org/officeDocument/2006/relationships/hyperlink" Target="http://ec.europa.eu/regional_policy/what/future/experts_documents_en.cfm" TargetMode="External"/><Relationship Id="rId6" Type="http://schemas.openxmlformats.org/officeDocument/2006/relationships/hyperlink" Target="http://www.eib.org/products/elena/index.htm" TargetMode="External"/><Relationship Id="rId5" Type="http://schemas.openxmlformats.org/officeDocument/2006/relationships/hyperlink" Target="http://www.eib.org/epec/resources/epec_guidance_ee_public_buildings_en.pdf" TargetMode="External"/><Relationship Id="rId4" Type="http://schemas.openxmlformats.org/officeDocument/2006/relationships/hyperlink" Target="http://ec.europa.eu/energy/efficiency/doc/financing_energy_efficien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30</Pages>
  <Words>10904</Words>
  <Characters>62156</Characters>
  <Application>Microsoft Office Word</Application>
  <DocSecurity>0</DocSecurity>
  <Lines>517</Lines>
  <Paragraphs>145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IPA2007/HR/16IPO/001-050401</vt:lpstr>
      <vt:lpstr>IPA2007/HR/16IPO/001-050401</vt:lpstr>
    </vt:vector>
  </TitlesOfParts>
  <Company/>
  <LinksUpToDate>false</LinksUpToDate>
  <CharactersWithSpaces>72915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IPA2007/HR/16IPO/001-050401</dc:title>
  <dc:creator>Richard Harding</dc:creator>
  <cp:lastModifiedBy>Lemonia Kathariou</cp:lastModifiedBy>
  <cp:revision>4</cp:revision>
  <cp:lastPrinted>2014-05-10T10:40:00Z</cp:lastPrinted>
  <dcterms:created xsi:type="dcterms:W3CDTF">2014-08-12T12:21:00Z</dcterms:created>
  <dcterms:modified xsi:type="dcterms:W3CDTF">2014-08-25T13:52:00Z</dcterms:modified>
</cp:coreProperties>
</file>